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060BA5" w14:textId="77777777" w:rsidR="00F14E64" w:rsidRPr="00F14E64" w:rsidRDefault="00F14E64" w:rsidP="00F14E64">
      <w:pPr>
        <w:shd w:val="clear" w:color="auto" w:fill="FFFFFF"/>
        <w:spacing w:after="150" w:line="240" w:lineRule="auto"/>
        <w:jc w:val="center"/>
        <w:rPr>
          <w:rFonts w:ascii="Helvetica" w:eastAsia="Times New Roman" w:hAnsi="Helvetica" w:cs="Helvetica"/>
          <w:color w:val="555555"/>
          <w:sz w:val="21"/>
          <w:szCs w:val="21"/>
          <w:lang w:eastAsia="es-CO"/>
        </w:rPr>
      </w:pPr>
      <w:r w:rsidRPr="00F14E64">
        <w:rPr>
          <w:rFonts w:ascii="Segoe UI" w:eastAsia="Times New Roman" w:hAnsi="Segoe UI" w:cs="Segoe UI"/>
          <w:b/>
          <w:bCs/>
          <w:color w:val="0000FF"/>
          <w:sz w:val="28"/>
          <w:szCs w:val="28"/>
          <w:lang w:eastAsia="es-CO"/>
        </w:rPr>
        <w:t xml:space="preserve">OFICIO </w:t>
      </w:r>
      <w:proofErr w:type="spellStart"/>
      <w:r w:rsidRPr="00F14E64">
        <w:rPr>
          <w:rFonts w:ascii="Segoe UI" w:eastAsia="Times New Roman" w:hAnsi="Segoe UI" w:cs="Segoe UI"/>
          <w:b/>
          <w:bCs/>
          <w:color w:val="0000FF"/>
          <w:sz w:val="28"/>
          <w:szCs w:val="28"/>
          <w:lang w:eastAsia="es-CO"/>
        </w:rPr>
        <w:t>Nº</w:t>
      </w:r>
      <w:proofErr w:type="spellEnd"/>
      <w:r w:rsidRPr="00F14E64">
        <w:rPr>
          <w:rFonts w:ascii="Segoe UI" w:eastAsia="Times New Roman" w:hAnsi="Segoe UI" w:cs="Segoe UI"/>
          <w:b/>
          <w:bCs/>
          <w:color w:val="0000FF"/>
          <w:sz w:val="28"/>
          <w:szCs w:val="28"/>
          <w:lang w:eastAsia="es-CO"/>
        </w:rPr>
        <w:t xml:space="preserve"> 904 [905912]</w:t>
      </w:r>
    </w:p>
    <w:p w14:paraId="41F99A0C" w14:textId="77777777" w:rsidR="00F14E64" w:rsidRPr="00F14E64" w:rsidRDefault="00F14E64" w:rsidP="00F14E64">
      <w:pPr>
        <w:shd w:val="clear" w:color="auto" w:fill="FFFFFF"/>
        <w:spacing w:after="150" w:line="240" w:lineRule="auto"/>
        <w:jc w:val="center"/>
        <w:rPr>
          <w:rFonts w:ascii="Helvetica" w:eastAsia="Times New Roman" w:hAnsi="Helvetica" w:cs="Helvetica"/>
          <w:color w:val="555555"/>
          <w:sz w:val="21"/>
          <w:szCs w:val="21"/>
          <w:lang w:eastAsia="es-CO"/>
        </w:rPr>
      </w:pPr>
      <w:r w:rsidRPr="00F14E64">
        <w:rPr>
          <w:rFonts w:ascii="Segoe UI" w:eastAsia="Times New Roman" w:hAnsi="Segoe UI" w:cs="Segoe UI"/>
          <w:b/>
          <w:bCs/>
          <w:color w:val="0000FF"/>
          <w:sz w:val="28"/>
          <w:szCs w:val="28"/>
          <w:lang w:eastAsia="es-CO"/>
        </w:rPr>
        <w:t>23-06-2021</w:t>
      </w:r>
    </w:p>
    <w:p w14:paraId="1F97A7C9" w14:textId="77777777" w:rsidR="00F14E64" w:rsidRPr="00F14E64" w:rsidRDefault="00F14E64" w:rsidP="00F14E64">
      <w:pPr>
        <w:shd w:val="clear" w:color="auto" w:fill="FFFFFF"/>
        <w:spacing w:after="150" w:line="240" w:lineRule="auto"/>
        <w:jc w:val="center"/>
        <w:rPr>
          <w:rFonts w:ascii="Helvetica" w:eastAsia="Times New Roman" w:hAnsi="Helvetica" w:cs="Helvetica"/>
          <w:color w:val="555555"/>
          <w:sz w:val="21"/>
          <w:szCs w:val="21"/>
          <w:lang w:eastAsia="es-CO"/>
        </w:rPr>
      </w:pPr>
      <w:r w:rsidRPr="00F14E64">
        <w:rPr>
          <w:rFonts w:ascii="Segoe UI" w:eastAsia="Times New Roman" w:hAnsi="Segoe UI" w:cs="Segoe UI"/>
          <w:b/>
          <w:bCs/>
          <w:color w:val="0000FF"/>
          <w:sz w:val="28"/>
          <w:szCs w:val="28"/>
          <w:lang w:eastAsia="es-CO"/>
        </w:rPr>
        <w:t>DIAN</w:t>
      </w:r>
    </w:p>
    <w:p w14:paraId="180C934D" w14:textId="77777777" w:rsidR="00F14E64" w:rsidRPr="00F14E64" w:rsidRDefault="00F14E64" w:rsidP="00F14E64">
      <w:pPr>
        <w:shd w:val="clear" w:color="auto" w:fill="FFFFFF"/>
        <w:spacing w:after="150" w:line="240" w:lineRule="auto"/>
        <w:jc w:val="both"/>
        <w:rPr>
          <w:rFonts w:ascii="Helvetica" w:eastAsia="Times New Roman" w:hAnsi="Helvetica" w:cs="Helvetica"/>
          <w:color w:val="555555"/>
          <w:sz w:val="21"/>
          <w:szCs w:val="21"/>
          <w:lang w:eastAsia="es-CO"/>
        </w:rPr>
      </w:pPr>
      <w:r w:rsidRPr="00F14E64">
        <w:rPr>
          <w:rFonts w:ascii="Helvetica" w:eastAsia="Times New Roman" w:hAnsi="Helvetica" w:cs="Helvetica"/>
          <w:color w:val="555555"/>
          <w:sz w:val="21"/>
          <w:szCs w:val="21"/>
          <w:lang w:eastAsia="es-CO"/>
        </w:rPr>
        <w:t> </w:t>
      </w:r>
    </w:p>
    <w:p w14:paraId="357BBD2D" w14:textId="77777777" w:rsidR="00F14E64" w:rsidRPr="00F14E64" w:rsidRDefault="00F14E64" w:rsidP="00F14E64">
      <w:pPr>
        <w:shd w:val="clear" w:color="auto" w:fill="FFFFFF"/>
        <w:spacing w:after="150" w:line="240" w:lineRule="auto"/>
        <w:jc w:val="both"/>
        <w:rPr>
          <w:rFonts w:ascii="Helvetica" w:eastAsia="Times New Roman" w:hAnsi="Helvetica" w:cs="Helvetica"/>
          <w:color w:val="555555"/>
          <w:sz w:val="21"/>
          <w:szCs w:val="21"/>
          <w:lang w:eastAsia="es-CO"/>
        </w:rPr>
      </w:pPr>
      <w:r w:rsidRPr="00F14E64">
        <w:rPr>
          <w:rFonts w:ascii="Helvetica" w:eastAsia="Times New Roman" w:hAnsi="Helvetica" w:cs="Helvetica"/>
          <w:color w:val="555555"/>
          <w:sz w:val="21"/>
          <w:szCs w:val="21"/>
          <w:lang w:eastAsia="es-CO"/>
        </w:rPr>
        <w:t> </w:t>
      </w:r>
    </w:p>
    <w:p w14:paraId="671536C5" w14:textId="77777777" w:rsidR="00F14E64" w:rsidRPr="00F14E64" w:rsidRDefault="00F14E64" w:rsidP="00F14E64">
      <w:pPr>
        <w:shd w:val="clear" w:color="auto" w:fill="FFFFFF"/>
        <w:spacing w:after="150" w:line="240" w:lineRule="auto"/>
        <w:jc w:val="both"/>
        <w:rPr>
          <w:rFonts w:ascii="Helvetica" w:eastAsia="Times New Roman" w:hAnsi="Helvetica" w:cs="Helvetica"/>
          <w:color w:val="555555"/>
          <w:sz w:val="21"/>
          <w:szCs w:val="21"/>
          <w:lang w:eastAsia="es-CO"/>
        </w:rPr>
      </w:pPr>
      <w:r w:rsidRPr="00F14E64">
        <w:rPr>
          <w:rFonts w:ascii="Segoe UI" w:eastAsia="Times New Roman" w:hAnsi="Segoe UI" w:cs="Segoe UI"/>
          <w:color w:val="000000"/>
          <w:sz w:val="22"/>
          <w:lang w:eastAsia="es-CO"/>
        </w:rPr>
        <w:t>Subdirección de Gestión Normativa y Doctrina</w:t>
      </w:r>
    </w:p>
    <w:p w14:paraId="33E31216" w14:textId="77777777" w:rsidR="00F14E64" w:rsidRPr="00F14E64" w:rsidRDefault="00F14E64" w:rsidP="00F14E64">
      <w:pPr>
        <w:shd w:val="clear" w:color="auto" w:fill="FFFFFF"/>
        <w:spacing w:after="150" w:line="240" w:lineRule="auto"/>
        <w:jc w:val="both"/>
        <w:rPr>
          <w:rFonts w:ascii="Helvetica" w:eastAsia="Times New Roman" w:hAnsi="Helvetica" w:cs="Helvetica"/>
          <w:color w:val="555555"/>
          <w:sz w:val="21"/>
          <w:szCs w:val="21"/>
          <w:lang w:eastAsia="es-CO"/>
        </w:rPr>
      </w:pPr>
      <w:r w:rsidRPr="00F14E64">
        <w:rPr>
          <w:rFonts w:ascii="Segoe UI" w:eastAsia="Times New Roman" w:hAnsi="Segoe UI" w:cs="Segoe UI"/>
          <w:color w:val="000000"/>
          <w:sz w:val="22"/>
          <w:lang w:eastAsia="es-CO"/>
        </w:rPr>
        <w:t>100208221-904</w:t>
      </w:r>
    </w:p>
    <w:p w14:paraId="2939ACC3" w14:textId="77777777" w:rsidR="00F14E64" w:rsidRPr="00F14E64" w:rsidRDefault="00F14E64" w:rsidP="00F14E64">
      <w:pPr>
        <w:shd w:val="clear" w:color="auto" w:fill="FFFFFF"/>
        <w:spacing w:after="150" w:line="240" w:lineRule="auto"/>
        <w:jc w:val="both"/>
        <w:rPr>
          <w:rFonts w:ascii="Helvetica" w:eastAsia="Times New Roman" w:hAnsi="Helvetica" w:cs="Helvetica"/>
          <w:color w:val="555555"/>
          <w:sz w:val="21"/>
          <w:szCs w:val="21"/>
          <w:lang w:eastAsia="es-CO"/>
        </w:rPr>
      </w:pPr>
      <w:r w:rsidRPr="00F14E64">
        <w:rPr>
          <w:rFonts w:ascii="Segoe UI" w:eastAsia="Times New Roman" w:hAnsi="Segoe UI" w:cs="Segoe UI"/>
          <w:color w:val="000000"/>
          <w:sz w:val="22"/>
          <w:lang w:eastAsia="es-CO"/>
        </w:rPr>
        <w:t>Bogotá, D.C.</w:t>
      </w:r>
    </w:p>
    <w:p w14:paraId="24A5755B" w14:textId="77777777" w:rsidR="00F14E64" w:rsidRPr="00F14E64" w:rsidRDefault="00F14E64" w:rsidP="00F14E64">
      <w:pPr>
        <w:shd w:val="clear" w:color="auto" w:fill="FFFFFF"/>
        <w:spacing w:after="150" w:line="240" w:lineRule="auto"/>
        <w:jc w:val="both"/>
        <w:rPr>
          <w:rFonts w:ascii="Helvetica" w:eastAsia="Times New Roman" w:hAnsi="Helvetica" w:cs="Helvetica"/>
          <w:color w:val="555555"/>
          <w:sz w:val="21"/>
          <w:szCs w:val="21"/>
          <w:lang w:eastAsia="es-CO"/>
        </w:rPr>
      </w:pPr>
      <w:r w:rsidRPr="00F14E64">
        <w:rPr>
          <w:rFonts w:ascii="Helvetica" w:eastAsia="Times New Roman" w:hAnsi="Helvetica" w:cs="Helvetica"/>
          <w:color w:val="555555"/>
          <w:sz w:val="21"/>
          <w:szCs w:val="21"/>
          <w:lang w:eastAsia="es-CO"/>
        </w:rPr>
        <w:t> </w:t>
      </w:r>
    </w:p>
    <w:p w14:paraId="7A93E697" w14:textId="77777777" w:rsidR="00F14E64" w:rsidRPr="00F14E64" w:rsidRDefault="00F14E64" w:rsidP="00F14E64">
      <w:pPr>
        <w:shd w:val="clear" w:color="auto" w:fill="FFFFFF"/>
        <w:spacing w:after="285" w:line="240" w:lineRule="auto"/>
        <w:jc w:val="both"/>
        <w:rPr>
          <w:rFonts w:ascii="Helvetica" w:eastAsia="Times New Roman" w:hAnsi="Helvetica" w:cs="Helvetica"/>
          <w:color w:val="555555"/>
          <w:sz w:val="21"/>
          <w:szCs w:val="21"/>
          <w:lang w:eastAsia="es-CO"/>
        </w:rPr>
      </w:pPr>
      <w:r w:rsidRPr="00F14E64">
        <w:rPr>
          <w:rFonts w:ascii="Helvetica" w:eastAsia="Times New Roman" w:hAnsi="Helvetica" w:cs="Helvetica"/>
          <w:color w:val="555555"/>
          <w:sz w:val="21"/>
          <w:szCs w:val="21"/>
          <w:lang w:eastAsia="es-CO"/>
        </w:rPr>
        <w:t> </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1816"/>
        <w:gridCol w:w="269"/>
        <w:gridCol w:w="269"/>
        <w:gridCol w:w="5833"/>
      </w:tblGrid>
      <w:tr w:rsidR="00F14E64" w:rsidRPr="00F14E64" w14:paraId="0E37F33D" w14:textId="77777777" w:rsidTr="00F14E64">
        <w:tc>
          <w:tcPr>
            <w:tcW w:w="0" w:type="auto"/>
            <w:shd w:val="clear" w:color="auto" w:fill="FFFFFF"/>
            <w:tcMar>
              <w:top w:w="0" w:type="dxa"/>
              <w:left w:w="105" w:type="dxa"/>
              <w:bottom w:w="0" w:type="dxa"/>
              <w:right w:w="105" w:type="dxa"/>
            </w:tcMar>
            <w:hideMark/>
          </w:tcPr>
          <w:p w14:paraId="17023A73" w14:textId="77777777" w:rsidR="00F14E64" w:rsidRPr="00F14E64" w:rsidRDefault="00F14E64" w:rsidP="00F14E64">
            <w:pPr>
              <w:spacing w:after="0" w:line="240" w:lineRule="auto"/>
              <w:jc w:val="both"/>
              <w:rPr>
                <w:rFonts w:ascii="Helvetica" w:eastAsia="Times New Roman" w:hAnsi="Helvetica" w:cs="Helvetica"/>
                <w:color w:val="555555"/>
                <w:sz w:val="21"/>
                <w:szCs w:val="21"/>
                <w:lang w:eastAsia="es-CO"/>
              </w:rPr>
            </w:pPr>
            <w:r w:rsidRPr="00F14E64">
              <w:rPr>
                <w:rFonts w:ascii="Segoe UI" w:eastAsia="Times New Roman" w:hAnsi="Segoe UI" w:cs="Segoe UI"/>
                <w:b/>
                <w:bCs/>
                <w:color w:val="555555"/>
                <w:sz w:val="20"/>
                <w:szCs w:val="20"/>
                <w:lang w:eastAsia="es-CO"/>
              </w:rPr>
              <w:t>Tema</w:t>
            </w:r>
          </w:p>
        </w:tc>
        <w:tc>
          <w:tcPr>
            <w:tcW w:w="0" w:type="auto"/>
            <w:shd w:val="clear" w:color="auto" w:fill="FFFFFF"/>
            <w:tcMar>
              <w:top w:w="0" w:type="dxa"/>
              <w:left w:w="105" w:type="dxa"/>
              <w:bottom w:w="0" w:type="dxa"/>
              <w:right w:w="105" w:type="dxa"/>
            </w:tcMar>
            <w:hideMark/>
          </w:tcPr>
          <w:p w14:paraId="4B89108A" w14:textId="77777777" w:rsidR="00F14E64" w:rsidRPr="00F14E64" w:rsidRDefault="00F14E64" w:rsidP="00F14E64">
            <w:pPr>
              <w:spacing w:after="0" w:line="240" w:lineRule="auto"/>
              <w:jc w:val="both"/>
              <w:rPr>
                <w:rFonts w:ascii="Helvetica" w:eastAsia="Times New Roman" w:hAnsi="Helvetica" w:cs="Helvetica"/>
                <w:color w:val="555555"/>
                <w:sz w:val="21"/>
                <w:szCs w:val="21"/>
                <w:lang w:eastAsia="es-CO"/>
              </w:rPr>
            </w:pPr>
            <w:r w:rsidRPr="00F14E64">
              <w:rPr>
                <w:rFonts w:ascii="Helvetica" w:eastAsia="Times New Roman" w:hAnsi="Helvetica" w:cs="Helvetica"/>
                <w:color w:val="555555"/>
                <w:sz w:val="21"/>
                <w:szCs w:val="21"/>
                <w:lang w:eastAsia="es-CO"/>
              </w:rPr>
              <w:t> </w:t>
            </w:r>
          </w:p>
        </w:tc>
        <w:tc>
          <w:tcPr>
            <w:tcW w:w="0" w:type="auto"/>
            <w:shd w:val="clear" w:color="auto" w:fill="FFFFFF"/>
            <w:tcMar>
              <w:top w:w="0" w:type="dxa"/>
              <w:left w:w="105" w:type="dxa"/>
              <w:bottom w:w="0" w:type="dxa"/>
              <w:right w:w="105" w:type="dxa"/>
            </w:tcMar>
            <w:hideMark/>
          </w:tcPr>
          <w:p w14:paraId="644C51E7" w14:textId="77777777" w:rsidR="00F14E64" w:rsidRPr="00F14E64" w:rsidRDefault="00F14E64" w:rsidP="00F14E64">
            <w:pPr>
              <w:spacing w:after="0" w:line="240" w:lineRule="auto"/>
              <w:jc w:val="both"/>
              <w:rPr>
                <w:rFonts w:ascii="Helvetica" w:eastAsia="Times New Roman" w:hAnsi="Helvetica" w:cs="Helvetica"/>
                <w:color w:val="555555"/>
                <w:sz w:val="21"/>
                <w:szCs w:val="21"/>
                <w:lang w:eastAsia="es-CO"/>
              </w:rPr>
            </w:pPr>
            <w:r w:rsidRPr="00F14E64">
              <w:rPr>
                <w:rFonts w:ascii="Helvetica" w:eastAsia="Times New Roman" w:hAnsi="Helvetica" w:cs="Helvetica"/>
                <w:color w:val="555555"/>
                <w:sz w:val="21"/>
                <w:szCs w:val="21"/>
                <w:lang w:eastAsia="es-CO"/>
              </w:rPr>
              <w:t> </w:t>
            </w:r>
          </w:p>
        </w:tc>
        <w:tc>
          <w:tcPr>
            <w:tcW w:w="0" w:type="auto"/>
            <w:shd w:val="clear" w:color="auto" w:fill="FFFFFF"/>
            <w:tcMar>
              <w:top w:w="0" w:type="dxa"/>
              <w:left w:w="105" w:type="dxa"/>
              <w:bottom w:w="0" w:type="dxa"/>
              <w:right w:w="105" w:type="dxa"/>
            </w:tcMar>
            <w:hideMark/>
          </w:tcPr>
          <w:p w14:paraId="5EEEE79A" w14:textId="77777777" w:rsidR="00F14E64" w:rsidRPr="00F14E64" w:rsidRDefault="00F14E64" w:rsidP="00F14E64">
            <w:pPr>
              <w:spacing w:after="0" w:line="240" w:lineRule="auto"/>
              <w:jc w:val="both"/>
              <w:rPr>
                <w:rFonts w:ascii="Helvetica" w:eastAsia="Times New Roman" w:hAnsi="Helvetica" w:cs="Helvetica"/>
                <w:color w:val="555555"/>
                <w:sz w:val="21"/>
                <w:szCs w:val="21"/>
                <w:lang w:eastAsia="es-CO"/>
              </w:rPr>
            </w:pPr>
            <w:r w:rsidRPr="00F14E64">
              <w:rPr>
                <w:rFonts w:ascii="Segoe UI" w:eastAsia="Times New Roman" w:hAnsi="Segoe UI" w:cs="Segoe UI"/>
                <w:color w:val="555555"/>
                <w:sz w:val="20"/>
                <w:szCs w:val="20"/>
                <w:lang w:eastAsia="es-CO"/>
              </w:rPr>
              <w:t>Impuesto sobre las ventas -IVA</w:t>
            </w:r>
          </w:p>
        </w:tc>
      </w:tr>
      <w:tr w:rsidR="00F14E64" w:rsidRPr="00F14E64" w14:paraId="40E664EE" w14:textId="77777777" w:rsidTr="00F14E64">
        <w:tc>
          <w:tcPr>
            <w:tcW w:w="0" w:type="auto"/>
            <w:shd w:val="clear" w:color="auto" w:fill="FFFFFF"/>
            <w:tcMar>
              <w:top w:w="0" w:type="dxa"/>
              <w:left w:w="105" w:type="dxa"/>
              <w:bottom w:w="0" w:type="dxa"/>
              <w:right w:w="105" w:type="dxa"/>
            </w:tcMar>
            <w:hideMark/>
          </w:tcPr>
          <w:p w14:paraId="137B1B0B" w14:textId="77777777" w:rsidR="00F14E64" w:rsidRPr="00F14E64" w:rsidRDefault="00F14E64" w:rsidP="00F14E64">
            <w:pPr>
              <w:spacing w:after="0" w:line="240" w:lineRule="auto"/>
              <w:jc w:val="both"/>
              <w:rPr>
                <w:rFonts w:ascii="Helvetica" w:eastAsia="Times New Roman" w:hAnsi="Helvetica" w:cs="Helvetica"/>
                <w:color w:val="555555"/>
                <w:sz w:val="21"/>
                <w:szCs w:val="21"/>
                <w:lang w:eastAsia="es-CO"/>
              </w:rPr>
            </w:pPr>
            <w:r w:rsidRPr="00F14E64">
              <w:rPr>
                <w:rFonts w:ascii="Segoe UI" w:eastAsia="Times New Roman" w:hAnsi="Segoe UI" w:cs="Segoe UI"/>
                <w:b/>
                <w:bCs/>
                <w:color w:val="555555"/>
                <w:sz w:val="20"/>
                <w:szCs w:val="20"/>
                <w:lang w:eastAsia="es-CO"/>
              </w:rPr>
              <w:t>Descriptores</w:t>
            </w:r>
          </w:p>
        </w:tc>
        <w:tc>
          <w:tcPr>
            <w:tcW w:w="0" w:type="auto"/>
            <w:shd w:val="clear" w:color="auto" w:fill="FFFFFF"/>
            <w:tcMar>
              <w:top w:w="0" w:type="dxa"/>
              <w:left w:w="105" w:type="dxa"/>
              <w:bottom w:w="0" w:type="dxa"/>
              <w:right w:w="105" w:type="dxa"/>
            </w:tcMar>
            <w:hideMark/>
          </w:tcPr>
          <w:p w14:paraId="74C92B17" w14:textId="77777777" w:rsidR="00F14E64" w:rsidRPr="00F14E64" w:rsidRDefault="00F14E64" w:rsidP="00F14E64">
            <w:pPr>
              <w:spacing w:after="0" w:line="240" w:lineRule="auto"/>
              <w:jc w:val="both"/>
              <w:rPr>
                <w:rFonts w:ascii="Helvetica" w:eastAsia="Times New Roman" w:hAnsi="Helvetica" w:cs="Helvetica"/>
                <w:color w:val="555555"/>
                <w:sz w:val="21"/>
                <w:szCs w:val="21"/>
                <w:lang w:eastAsia="es-CO"/>
              </w:rPr>
            </w:pPr>
            <w:r w:rsidRPr="00F14E64">
              <w:rPr>
                <w:rFonts w:ascii="Helvetica" w:eastAsia="Times New Roman" w:hAnsi="Helvetica" w:cs="Helvetica"/>
                <w:color w:val="555555"/>
                <w:sz w:val="21"/>
                <w:szCs w:val="21"/>
                <w:lang w:eastAsia="es-CO"/>
              </w:rPr>
              <w:t> </w:t>
            </w:r>
          </w:p>
        </w:tc>
        <w:tc>
          <w:tcPr>
            <w:tcW w:w="0" w:type="auto"/>
            <w:shd w:val="clear" w:color="auto" w:fill="FFFFFF"/>
            <w:tcMar>
              <w:top w:w="0" w:type="dxa"/>
              <w:left w:w="105" w:type="dxa"/>
              <w:bottom w:w="0" w:type="dxa"/>
              <w:right w:w="105" w:type="dxa"/>
            </w:tcMar>
            <w:hideMark/>
          </w:tcPr>
          <w:p w14:paraId="6487171A" w14:textId="77777777" w:rsidR="00F14E64" w:rsidRPr="00F14E64" w:rsidRDefault="00F14E64" w:rsidP="00F14E64">
            <w:pPr>
              <w:spacing w:after="0" w:line="240" w:lineRule="auto"/>
              <w:jc w:val="both"/>
              <w:rPr>
                <w:rFonts w:ascii="Helvetica" w:eastAsia="Times New Roman" w:hAnsi="Helvetica" w:cs="Helvetica"/>
                <w:color w:val="555555"/>
                <w:sz w:val="21"/>
                <w:szCs w:val="21"/>
                <w:lang w:eastAsia="es-CO"/>
              </w:rPr>
            </w:pPr>
            <w:r w:rsidRPr="00F14E64">
              <w:rPr>
                <w:rFonts w:ascii="Helvetica" w:eastAsia="Times New Roman" w:hAnsi="Helvetica" w:cs="Helvetica"/>
                <w:color w:val="555555"/>
                <w:sz w:val="21"/>
                <w:szCs w:val="21"/>
                <w:lang w:eastAsia="es-CO"/>
              </w:rPr>
              <w:t> </w:t>
            </w:r>
          </w:p>
        </w:tc>
        <w:tc>
          <w:tcPr>
            <w:tcW w:w="0" w:type="auto"/>
            <w:shd w:val="clear" w:color="auto" w:fill="FFFFFF"/>
            <w:tcMar>
              <w:top w:w="0" w:type="dxa"/>
              <w:left w:w="105" w:type="dxa"/>
              <w:bottom w:w="0" w:type="dxa"/>
              <w:right w:w="105" w:type="dxa"/>
            </w:tcMar>
            <w:hideMark/>
          </w:tcPr>
          <w:p w14:paraId="2D8E2321" w14:textId="77777777" w:rsidR="00F14E64" w:rsidRPr="00F14E64" w:rsidRDefault="00F14E64" w:rsidP="00F14E64">
            <w:pPr>
              <w:spacing w:after="0" w:line="240" w:lineRule="auto"/>
              <w:jc w:val="both"/>
              <w:rPr>
                <w:rFonts w:ascii="Helvetica" w:eastAsia="Times New Roman" w:hAnsi="Helvetica" w:cs="Helvetica"/>
                <w:color w:val="555555"/>
                <w:sz w:val="21"/>
                <w:szCs w:val="21"/>
                <w:lang w:eastAsia="es-CO"/>
              </w:rPr>
            </w:pPr>
            <w:r w:rsidRPr="00F14E64">
              <w:rPr>
                <w:rFonts w:ascii="Segoe UI" w:eastAsia="Times New Roman" w:hAnsi="Segoe UI" w:cs="Segoe UI"/>
                <w:color w:val="555555"/>
                <w:sz w:val="20"/>
                <w:szCs w:val="20"/>
                <w:lang w:eastAsia="es-CO"/>
              </w:rPr>
              <w:t>Servicios vinculados con la seguridad social exceptuados de IVA</w:t>
            </w:r>
          </w:p>
        </w:tc>
      </w:tr>
      <w:tr w:rsidR="00F14E64" w:rsidRPr="00F14E64" w14:paraId="5F6E9152" w14:textId="77777777" w:rsidTr="00F14E64">
        <w:tc>
          <w:tcPr>
            <w:tcW w:w="0" w:type="auto"/>
            <w:shd w:val="clear" w:color="auto" w:fill="FFFFFF"/>
            <w:tcMar>
              <w:top w:w="0" w:type="dxa"/>
              <w:left w:w="105" w:type="dxa"/>
              <w:bottom w:w="0" w:type="dxa"/>
              <w:right w:w="105" w:type="dxa"/>
            </w:tcMar>
            <w:hideMark/>
          </w:tcPr>
          <w:p w14:paraId="61BAE449" w14:textId="77777777" w:rsidR="00F14E64" w:rsidRPr="00F14E64" w:rsidRDefault="00F14E64" w:rsidP="00F14E64">
            <w:pPr>
              <w:spacing w:after="0" w:line="240" w:lineRule="auto"/>
              <w:jc w:val="both"/>
              <w:rPr>
                <w:rFonts w:ascii="Helvetica" w:eastAsia="Times New Roman" w:hAnsi="Helvetica" w:cs="Helvetica"/>
                <w:color w:val="555555"/>
                <w:sz w:val="21"/>
                <w:szCs w:val="21"/>
                <w:lang w:eastAsia="es-CO"/>
              </w:rPr>
            </w:pPr>
            <w:r w:rsidRPr="00F14E64">
              <w:rPr>
                <w:rFonts w:ascii="Segoe UI" w:eastAsia="Times New Roman" w:hAnsi="Segoe UI" w:cs="Segoe UI"/>
                <w:b/>
                <w:bCs/>
                <w:color w:val="555555"/>
                <w:sz w:val="20"/>
                <w:szCs w:val="20"/>
                <w:lang w:eastAsia="es-CO"/>
              </w:rPr>
              <w:t>Fuentes formales</w:t>
            </w:r>
          </w:p>
        </w:tc>
        <w:tc>
          <w:tcPr>
            <w:tcW w:w="0" w:type="auto"/>
            <w:shd w:val="clear" w:color="auto" w:fill="FFFFFF"/>
            <w:tcMar>
              <w:top w:w="0" w:type="dxa"/>
              <w:left w:w="105" w:type="dxa"/>
              <w:bottom w:w="0" w:type="dxa"/>
              <w:right w:w="105" w:type="dxa"/>
            </w:tcMar>
            <w:hideMark/>
          </w:tcPr>
          <w:p w14:paraId="59D4BEF3" w14:textId="77777777" w:rsidR="00F14E64" w:rsidRPr="00F14E64" w:rsidRDefault="00F14E64" w:rsidP="00F14E64">
            <w:pPr>
              <w:spacing w:after="0" w:line="240" w:lineRule="auto"/>
              <w:jc w:val="both"/>
              <w:rPr>
                <w:rFonts w:ascii="Helvetica" w:eastAsia="Times New Roman" w:hAnsi="Helvetica" w:cs="Helvetica"/>
                <w:color w:val="555555"/>
                <w:sz w:val="21"/>
                <w:szCs w:val="21"/>
                <w:lang w:eastAsia="es-CO"/>
              </w:rPr>
            </w:pPr>
            <w:r w:rsidRPr="00F14E64">
              <w:rPr>
                <w:rFonts w:ascii="Helvetica" w:eastAsia="Times New Roman" w:hAnsi="Helvetica" w:cs="Helvetica"/>
                <w:color w:val="555555"/>
                <w:sz w:val="21"/>
                <w:szCs w:val="21"/>
                <w:lang w:eastAsia="es-CO"/>
              </w:rPr>
              <w:t> </w:t>
            </w:r>
          </w:p>
        </w:tc>
        <w:tc>
          <w:tcPr>
            <w:tcW w:w="0" w:type="auto"/>
            <w:shd w:val="clear" w:color="auto" w:fill="FFFFFF"/>
            <w:tcMar>
              <w:top w:w="0" w:type="dxa"/>
              <w:left w:w="105" w:type="dxa"/>
              <w:bottom w:w="0" w:type="dxa"/>
              <w:right w:w="105" w:type="dxa"/>
            </w:tcMar>
            <w:hideMark/>
          </w:tcPr>
          <w:p w14:paraId="51AE68D6" w14:textId="77777777" w:rsidR="00F14E64" w:rsidRPr="00F14E64" w:rsidRDefault="00F14E64" w:rsidP="00F14E64">
            <w:pPr>
              <w:spacing w:after="0" w:line="240" w:lineRule="auto"/>
              <w:jc w:val="both"/>
              <w:rPr>
                <w:rFonts w:ascii="Helvetica" w:eastAsia="Times New Roman" w:hAnsi="Helvetica" w:cs="Helvetica"/>
                <w:color w:val="555555"/>
                <w:sz w:val="21"/>
                <w:szCs w:val="21"/>
                <w:lang w:eastAsia="es-CO"/>
              </w:rPr>
            </w:pPr>
            <w:r w:rsidRPr="00F14E64">
              <w:rPr>
                <w:rFonts w:ascii="Helvetica" w:eastAsia="Times New Roman" w:hAnsi="Helvetica" w:cs="Helvetica"/>
                <w:color w:val="555555"/>
                <w:sz w:val="21"/>
                <w:szCs w:val="21"/>
                <w:lang w:eastAsia="es-CO"/>
              </w:rPr>
              <w:t> </w:t>
            </w:r>
          </w:p>
        </w:tc>
        <w:tc>
          <w:tcPr>
            <w:tcW w:w="0" w:type="auto"/>
            <w:shd w:val="clear" w:color="auto" w:fill="FFFFFF"/>
            <w:tcMar>
              <w:top w:w="0" w:type="dxa"/>
              <w:left w:w="105" w:type="dxa"/>
              <w:bottom w:w="0" w:type="dxa"/>
              <w:right w:w="105" w:type="dxa"/>
            </w:tcMar>
            <w:hideMark/>
          </w:tcPr>
          <w:p w14:paraId="2AF8BD8C" w14:textId="77777777" w:rsidR="00F14E64" w:rsidRPr="00F14E64" w:rsidRDefault="00F14E64" w:rsidP="00F14E64">
            <w:pPr>
              <w:spacing w:after="150" w:line="240" w:lineRule="auto"/>
              <w:jc w:val="both"/>
              <w:rPr>
                <w:rFonts w:ascii="Helvetica" w:eastAsia="Times New Roman" w:hAnsi="Helvetica" w:cs="Helvetica"/>
                <w:color w:val="555555"/>
                <w:sz w:val="21"/>
                <w:szCs w:val="21"/>
                <w:lang w:eastAsia="es-CO"/>
              </w:rPr>
            </w:pPr>
            <w:r w:rsidRPr="00F14E64">
              <w:rPr>
                <w:rFonts w:ascii="Segoe UI" w:eastAsia="Times New Roman" w:hAnsi="Segoe UI" w:cs="Segoe UI"/>
                <w:color w:val="555555"/>
                <w:sz w:val="20"/>
                <w:szCs w:val="20"/>
                <w:lang w:eastAsia="es-CO"/>
              </w:rPr>
              <w:t>Estatuto Tributario, artículo 476, numerales 1, 2 y 3</w:t>
            </w:r>
          </w:p>
          <w:p w14:paraId="238C7B9A" w14:textId="77777777" w:rsidR="00F14E64" w:rsidRPr="00F14E64" w:rsidRDefault="00F14E64" w:rsidP="00F14E64">
            <w:pPr>
              <w:spacing w:after="0" w:line="240" w:lineRule="auto"/>
              <w:jc w:val="both"/>
              <w:rPr>
                <w:rFonts w:ascii="Helvetica" w:eastAsia="Times New Roman" w:hAnsi="Helvetica" w:cs="Helvetica"/>
                <w:color w:val="555555"/>
                <w:sz w:val="21"/>
                <w:szCs w:val="21"/>
                <w:lang w:eastAsia="es-CO"/>
              </w:rPr>
            </w:pPr>
            <w:r w:rsidRPr="00F14E64">
              <w:rPr>
                <w:rFonts w:ascii="Segoe UI" w:eastAsia="Times New Roman" w:hAnsi="Segoe UI" w:cs="Segoe UI"/>
                <w:color w:val="555555"/>
                <w:sz w:val="20"/>
                <w:szCs w:val="20"/>
                <w:lang w:eastAsia="es-CO"/>
              </w:rPr>
              <w:t>Oficio DIAN No. 000345 de 2020</w:t>
            </w:r>
          </w:p>
        </w:tc>
      </w:tr>
    </w:tbl>
    <w:p w14:paraId="2FC9D07B" w14:textId="77777777" w:rsidR="00F14E64" w:rsidRPr="00F14E64" w:rsidRDefault="00F14E64" w:rsidP="00F14E64">
      <w:pPr>
        <w:shd w:val="clear" w:color="auto" w:fill="FFFFFF"/>
        <w:spacing w:after="150" w:line="240" w:lineRule="auto"/>
        <w:jc w:val="both"/>
        <w:rPr>
          <w:rFonts w:ascii="Helvetica" w:eastAsia="Times New Roman" w:hAnsi="Helvetica" w:cs="Helvetica"/>
          <w:color w:val="555555"/>
          <w:sz w:val="21"/>
          <w:szCs w:val="21"/>
          <w:lang w:eastAsia="es-CO"/>
        </w:rPr>
      </w:pPr>
      <w:r w:rsidRPr="00F14E64">
        <w:rPr>
          <w:rFonts w:ascii="Helvetica" w:eastAsia="Times New Roman" w:hAnsi="Helvetica" w:cs="Helvetica"/>
          <w:color w:val="555555"/>
          <w:sz w:val="21"/>
          <w:szCs w:val="21"/>
          <w:lang w:eastAsia="es-CO"/>
        </w:rPr>
        <w:t> </w:t>
      </w:r>
    </w:p>
    <w:p w14:paraId="6C4FC26B" w14:textId="77777777" w:rsidR="00F14E64" w:rsidRPr="00F14E64" w:rsidRDefault="00F14E64" w:rsidP="00F14E64">
      <w:pPr>
        <w:shd w:val="clear" w:color="auto" w:fill="FFFFFF"/>
        <w:spacing w:after="150" w:line="240" w:lineRule="auto"/>
        <w:jc w:val="both"/>
        <w:rPr>
          <w:rFonts w:ascii="Helvetica" w:eastAsia="Times New Roman" w:hAnsi="Helvetica" w:cs="Helvetica"/>
          <w:color w:val="555555"/>
          <w:sz w:val="21"/>
          <w:szCs w:val="21"/>
          <w:lang w:eastAsia="es-CO"/>
        </w:rPr>
      </w:pPr>
      <w:r w:rsidRPr="00F14E64">
        <w:rPr>
          <w:rFonts w:ascii="Helvetica" w:eastAsia="Times New Roman" w:hAnsi="Helvetica" w:cs="Helvetica"/>
          <w:color w:val="555555"/>
          <w:sz w:val="21"/>
          <w:szCs w:val="21"/>
          <w:lang w:eastAsia="es-CO"/>
        </w:rPr>
        <w:t> </w:t>
      </w:r>
    </w:p>
    <w:p w14:paraId="4AE26481" w14:textId="77777777" w:rsidR="00F14E64" w:rsidRPr="00F14E64" w:rsidRDefault="00F14E64" w:rsidP="00F14E64">
      <w:pPr>
        <w:shd w:val="clear" w:color="auto" w:fill="FFFFFF"/>
        <w:spacing w:after="150" w:line="240" w:lineRule="auto"/>
        <w:jc w:val="both"/>
        <w:rPr>
          <w:rFonts w:ascii="Helvetica" w:eastAsia="Times New Roman" w:hAnsi="Helvetica" w:cs="Helvetica"/>
          <w:color w:val="555555"/>
          <w:sz w:val="21"/>
          <w:szCs w:val="21"/>
          <w:lang w:eastAsia="es-CO"/>
        </w:rPr>
      </w:pPr>
      <w:r w:rsidRPr="00F14E64">
        <w:rPr>
          <w:rFonts w:ascii="Segoe UI" w:eastAsia="Times New Roman" w:hAnsi="Segoe UI" w:cs="Segoe UI"/>
          <w:color w:val="000000"/>
          <w:sz w:val="18"/>
          <w:szCs w:val="18"/>
          <w:lang w:eastAsia="es-CO"/>
        </w:rPr>
        <w:t>Cordial saludo,</w:t>
      </w:r>
    </w:p>
    <w:p w14:paraId="6A367669" w14:textId="77777777" w:rsidR="00F14E64" w:rsidRPr="00F14E64" w:rsidRDefault="00F14E64" w:rsidP="00F14E64">
      <w:pPr>
        <w:shd w:val="clear" w:color="auto" w:fill="FFFFFF"/>
        <w:spacing w:after="150" w:line="240" w:lineRule="auto"/>
        <w:jc w:val="both"/>
        <w:rPr>
          <w:rFonts w:ascii="Helvetica" w:eastAsia="Times New Roman" w:hAnsi="Helvetica" w:cs="Helvetica"/>
          <w:color w:val="555555"/>
          <w:sz w:val="21"/>
          <w:szCs w:val="21"/>
          <w:lang w:eastAsia="es-CO"/>
        </w:rPr>
      </w:pPr>
      <w:r w:rsidRPr="00F14E64">
        <w:rPr>
          <w:rFonts w:ascii="Helvetica" w:eastAsia="Times New Roman" w:hAnsi="Helvetica" w:cs="Helvetica"/>
          <w:color w:val="555555"/>
          <w:sz w:val="21"/>
          <w:szCs w:val="21"/>
          <w:lang w:eastAsia="es-CO"/>
        </w:rPr>
        <w:t> </w:t>
      </w:r>
    </w:p>
    <w:p w14:paraId="46699A46" w14:textId="77777777" w:rsidR="00F14E64" w:rsidRPr="00F14E64" w:rsidRDefault="00F14E64" w:rsidP="00F14E64">
      <w:pPr>
        <w:shd w:val="clear" w:color="auto" w:fill="FFFFFF"/>
        <w:spacing w:after="150" w:line="240" w:lineRule="auto"/>
        <w:jc w:val="both"/>
        <w:rPr>
          <w:rFonts w:ascii="Helvetica" w:eastAsia="Times New Roman" w:hAnsi="Helvetica" w:cs="Helvetica"/>
          <w:color w:val="555555"/>
          <w:sz w:val="21"/>
          <w:szCs w:val="21"/>
          <w:lang w:eastAsia="es-CO"/>
        </w:rPr>
      </w:pPr>
      <w:r w:rsidRPr="00F14E64">
        <w:rPr>
          <w:rFonts w:ascii="Segoe UI" w:eastAsia="Times New Roman" w:hAnsi="Segoe UI" w:cs="Segoe UI"/>
          <w:color w:val="000000"/>
          <w:sz w:val="18"/>
          <w:szCs w:val="18"/>
          <w:lang w:eastAsia="es-CO"/>
        </w:rPr>
        <w:t>De conformidad con el artículo 20 del Decreto 4048 de 2008, este Despacho está facultado para absolver las consultas escritas que se formulen sobre la interpretación y aplicación de las normas tributarias, aduaneras y cambiarias, en el marco de las competencias de la Dirección de Impuestos y Aduanas Nacionales. Por consiguiente, no corresponde a este Despacho, en ejercicio de las funciones descritas anteriormente, prestar asesoría específica para atender casos particulares, ni juzgar o calificar las decisiones tomadas por otras dependencias o entidades.</w:t>
      </w:r>
    </w:p>
    <w:p w14:paraId="5C503A22" w14:textId="77777777" w:rsidR="00F14E64" w:rsidRPr="00F14E64" w:rsidRDefault="00F14E64" w:rsidP="00F14E64">
      <w:pPr>
        <w:shd w:val="clear" w:color="auto" w:fill="FFFFFF"/>
        <w:spacing w:after="150" w:line="240" w:lineRule="auto"/>
        <w:jc w:val="both"/>
        <w:rPr>
          <w:rFonts w:ascii="Helvetica" w:eastAsia="Times New Roman" w:hAnsi="Helvetica" w:cs="Helvetica"/>
          <w:color w:val="555555"/>
          <w:sz w:val="21"/>
          <w:szCs w:val="21"/>
          <w:lang w:eastAsia="es-CO"/>
        </w:rPr>
      </w:pPr>
      <w:r w:rsidRPr="00F14E64">
        <w:rPr>
          <w:rFonts w:ascii="Helvetica" w:eastAsia="Times New Roman" w:hAnsi="Helvetica" w:cs="Helvetica"/>
          <w:color w:val="555555"/>
          <w:sz w:val="21"/>
          <w:szCs w:val="21"/>
          <w:lang w:eastAsia="es-CO"/>
        </w:rPr>
        <w:t> </w:t>
      </w:r>
    </w:p>
    <w:p w14:paraId="0CD307DE" w14:textId="77777777" w:rsidR="00F14E64" w:rsidRPr="00F14E64" w:rsidRDefault="00F14E64" w:rsidP="00F14E64">
      <w:pPr>
        <w:shd w:val="clear" w:color="auto" w:fill="FFFFFF"/>
        <w:spacing w:after="150" w:line="240" w:lineRule="auto"/>
        <w:jc w:val="both"/>
        <w:rPr>
          <w:rFonts w:ascii="Helvetica" w:eastAsia="Times New Roman" w:hAnsi="Helvetica" w:cs="Helvetica"/>
          <w:color w:val="555555"/>
          <w:sz w:val="21"/>
          <w:szCs w:val="21"/>
          <w:lang w:eastAsia="es-CO"/>
        </w:rPr>
      </w:pPr>
      <w:r w:rsidRPr="00F14E64">
        <w:rPr>
          <w:rFonts w:ascii="Segoe UI" w:eastAsia="Times New Roman" w:hAnsi="Segoe UI" w:cs="Segoe UI"/>
          <w:color w:val="000000"/>
          <w:sz w:val="18"/>
          <w:szCs w:val="18"/>
          <w:lang w:eastAsia="es-CO"/>
        </w:rPr>
        <w:t>La Superintendencia Nacional de Salud traslada por competencia la consulta formulada por la peticionaria, para que se atienda el punto relacionado con la exclusión del impuesto sobre las ventas -IVA a Instituciones Prestadoras de Salud (IPS). Puntualmente, se consulta si a las Instituciones Prestadoras de Salud (IPS) al prestar sus servicios con dineros de la Unidad de Pago por Capitación (UPC) les aplica la exclusión del IVA teniendo en cuenta lo establecido en el Artículo 48 de la Constitución Política y demás normas que regulan la exclusión respecto de instituciones del Sistema de Seguridad Social en salud.</w:t>
      </w:r>
    </w:p>
    <w:p w14:paraId="16E17723" w14:textId="77777777" w:rsidR="00F14E64" w:rsidRPr="00F14E64" w:rsidRDefault="00F14E64" w:rsidP="00F14E64">
      <w:pPr>
        <w:shd w:val="clear" w:color="auto" w:fill="FFFFFF"/>
        <w:spacing w:after="150" w:line="240" w:lineRule="auto"/>
        <w:jc w:val="both"/>
        <w:rPr>
          <w:rFonts w:ascii="Helvetica" w:eastAsia="Times New Roman" w:hAnsi="Helvetica" w:cs="Helvetica"/>
          <w:color w:val="555555"/>
          <w:sz w:val="21"/>
          <w:szCs w:val="21"/>
          <w:lang w:eastAsia="es-CO"/>
        </w:rPr>
      </w:pPr>
      <w:r w:rsidRPr="00F14E64">
        <w:rPr>
          <w:rFonts w:ascii="Helvetica" w:eastAsia="Times New Roman" w:hAnsi="Helvetica" w:cs="Helvetica"/>
          <w:color w:val="555555"/>
          <w:sz w:val="21"/>
          <w:szCs w:val="21"/>
          <w:lang w:eastAsia="es-CO"/>
        </w:rPr>
        <w:t> </w:t>
      </w:r>
    </w:p>
    <w:p w14:paraId="62A448FD" w14:textId="77777777" w:rsidR="00F14E64" w:rsidRPr="00F14E64" w:rsidRDefault="00F14E64" w:rsidP="00F14E64">
      <w:pPr>
        <w:shd w:val="clear" w:color="auto" w:fill="FFFFFF"/>
        <w:spacing w:after="150" w:line="240" w:lineRule="auto"/>
        <w:jc w:val="both"/>
        <w:rPr>
          <w:rFonts w:ascii="Helvetica" w:eastAsia="Times New Roman" w:hAnsi="Helvetica" w:cs="Helvetica"/>
          <w:color w:val="555555"/>
          <w:sz w:val="21"/>
          <w:szCs w:val="21"/>
          <w:lang w:eastAsia="es-CO"/>
        </w:rPr>
      </w:pPr>
      <w:r w:rsidRPr="00F14E64">
        <w:rPr>
          <w:rFonts w:ascii="Segoe UI" w:eastAsia="Times New Roman" w:hAnsi="Segoe UI" w:cs="Segoe UI"/>
          <w:color w:val="000000"/>
          <w:sz w:val="18"/>
          <w:szCs w:val="18"/>
          <w:lang w:eastAsia="es-CO"/>
        </w:rPr>
        <w:t>Para formular su inquietud, la consultante además de citar el Artículo 48 de la Constitución Nacional, se refiere a algunas sentencias de la Corte Constitucional (C-140 de 2003 y C- 824 de 2004) y a la Ley 100 de 1993.</w:t>
      </w:r>
    </w:p>
    <w:p w14:paraId="5390F27E" w14:textId="77777777" w:rsidR="00F14E64" w:rsidRPr="00F14E64" w:rsidRDefault="00F14E64" w:rsidP="00F14E64">
      <w:pPr>
        <w:shd w:val="clear" w:color="auto" w:fill="FFFFFF"/>
        <w:spacing w:after="150" w:line="240" w:lineRule="auto"/>
        <w:jc w:val="both"/>
        <w:rPr>
          <w:rFonts w:ascii="Helvetica" w:eastAsia="Times New Roman" w:hAnsi="Helvetica" w:cs="Helvetica"/>
          <w:color w:val="555555"/>
          <w:sz w:val="21"/>
          <w:szCs w:val="21"/>
          <w:lang w:eastAsia="es-CO"/>
        </w:rPr>
      </w:pPr>
      <w:r w:rsidRPr="00F14E64">
        <w:rPr>
          <w:rFonts w:ascii="Helvetica" w:eastAsia="Times New Roman" w:hAnsi="Helvetica" w:cs="Helvetica"/>
          <w:color w:val="555555"/>
          <w:sz w:val="21"/>
          <w:szCs w:val="21"/>
          <w:lang w:eastAsia="es-CO"/>
        </w:rPr>
        <w:t> </w:t>
      </w:r>
    </w:p>
    <w:p w14:paraId="7AB3AAC7" w14:textId="77777777" w:rsidR="00F14E64" w:rsidRPr="00F14E64" w:rsidRDefault="00F14E64" w:rsidP="00F14E64">
      <w:pPr>
        <w:shd w:val="clear" w:color="auto" w:fill="FFFFFF"/>
        <w:spacing w:after="150" w:line="240" w:lineRule="auto"/>
        <w:jc w:val="both"/>
        <w:rPr>
          <w:rFonts w:ascii="Helvetica" w:eastAsia="Times New Roman" w:hAnsi="Helvetica" w:cs="Helvetica"/>
          <w:color w:val="555555"/>
          <w:sz w:val="21"/>
          <w:szCs w:val="21"/>
          <w:lang w:eastAsia="es-CO"/>
        </w:rPr>
      </w:pPr>
      <w:r w:rsidRPr="00F14E64">
        <w:rPr>
          <w:rFonts w:ascii="Segoe UI" w:eastAsia="Times New Roman" w:hAnsi="Segoe UI" w:cs="Segoe UI"/>
          <w:color w:val="000000"/>
          <w:sz w:val="18"/>
          <w:szCs w:val="18"/>
          <w:lang w:eastAsia="es-CO"/>
        </w:rPr>
        <w:t>Sobre el particular, las consideraciones de este Despacho son las siguientes, no sin antes reiterar que no le corresponde pronunciarse sobre situaciones de carácter particular ni prestar asesoría específica:</w:t>
      </w:r>
    </w:p>
    <w:p w14:paraId="59ABA0C8" w14:textId="77777777" w:rsidR="00F14E64" w:rsidRPr="00F14E64" w:rsidRDefault="00F14E64" w:rsidP="00F14E64">
      <w:pPr>
        <w:shd w:val="clear" w:color="auto" w:fill="FFFFFF"/>
        <w:spacing w:after="150" w:line="240" w:lineRule="auto"/>
        <w:jc w:val="both"/>
        <w:rPr>
          <w:rFonts w:ascii="Helvetica" w:eastAsia="Times New Roman" w:hAnsi="Helvetica" w:cs="Helvetica"/>
          <w:color w:val="555555"/>
          <w:sz w:val="21"/>
          <w:szCs w:val="21"/>
          <w:lang w:eastAsia="es-CO"/>
        </w:rPr>
      </w:pPr>
      <w:r w:rsidRPr="00F14E64">
        <w:rPr>
          <w:rFonts w:ascii="Helvetica" w:eastAsia="Times New Roman" w:hAnsi="Helvetica" w:cs="Helvetica"/>
          <w:color w:val="555555"/>
          <w:sz w:val="21"/>
          <w:szCs w:val="21"/>
          <w:lang w:eastAsia="es-CO"/>
        </w:rPr>
        <w:t> </w:t>
      </w:r>
    </w:p>
    <w:p w14:paraId="284408AD" w14:textId="77777777" w:rsidR="00F14E64" w:rsidRPr="00F14E64" w:rsidRDefault="00F14E64" w:rsidP="00F14E64">
      <w:pPr>
        <w:shd w:val="clear" w:color="auto" w:fill="FFFFFF"/>
        <w:spacing w:after="150" w:line="240" w:lineRule="auto"/>
        <w:ind w:left="285"/>
        <w:jc w:val="both"/>
        <w:rPr>
          <w:rFonts w:ascii="Helvetica" w:eastAsia="Times New Roman" w:hAnsi="Helvetica" w:cs="Helvetica"/>
          <w:color w:val="555555"/>
          <w:sz w:val="21"/>
          <w:szCs w:val="21"/>
          <w:lang w:eastAsia="es-CO"/>
        </w:rPr>
      </w:pPr>
      <w:r w:rsidRPr="00F14E64">
        <w:rPr>
          <w:rFonts w:ascii="Segoe UI" w:eastAsia="Times New Roman" w:hAnsi="Segoe UI" w:cs="Segoe UI"/>
          <w:color w:val="000000"/>
          <w:sz w:val="18"/>
          <w:szCs w:val="18"/>
          <w:lang w:eastAsia="es-CO"/>
        </w:rPr>
        <w:t>1. En primer lugar, es necesario tener presente que el impuesto sobre las ventas -IVA es un impuesto del orden nacional, indirecto, de naturaleza real, de causación instantánea y de régimen general. En efecto, en el Concepto Unificado de 2003, se precisa que el IVA:</w:t>
      </w:r>
    </w:p>
    <w:p w14:paraId="550D9D87" w14:textId="77777777" w:rsidR="00F14E64" w:rsidRPr="00F14E64" w:rsidRDefault="00F14E64" w:rsidP="00F14E64">
      <w:pPr>
        <w:shd w:val="clear" w:color="auto" w:fill="FFFFFF"/>
        <w:spacing w:after="150" w:line="240" w:lineRule="auto"/>
        <w:ind w:left="285"/>
        <w:jc w:val="both"/>
        <w:rPr>
          <w:rFonts w:ascii="Helvetica" w:eastAsia="Times New Roman" w:hAnsi="Helvetica" w:cs="Helvetica"/>
          <w:color w:val="555555"/>
          <w:sz w:val="21"/>
          <w:szCs w:val="21"/>
          <w:lang w:eastAsia="es-CO"/>
        </w:rPr>
      </w:pPr>
      <w:r w:rsidRPr="00F14E64">
        <w:rPr>
          <w:rFonts w:ascii="Helvetica" w:eastAsia="Times New Roman" w:hAnsi="Helvetica" w:cs="Helvetica"/>
          <w:color w:val="555555"/>
          <w:sz w:val="21"/>
          <w:szCs w:val="21"/>
          <w:lang w:eastAsia="es-CO"/>
        </w:rPr>
        <w:t> </w:t>
      </w:r>
    </w:p>
    <w:p w14:paraId="0661253B" w14:textId="77777777" w:rsidR="00F14E64" w:rsidRPr="00F14E64" w:rsidRDefault="00F14E64" w:rsidP="00F14E64">
      <w:pPr>
        <w:shd w:val="clear" w:color="auto" w:fill="FFFFFF"/>
        <w:spacing w:after="150" w:line="240" w:lineRule="auto"/>
        <w:ind w:left="285"/>
        <w:jc w:val="both"/>
        <w:rPr>
          <w:rFonts w:ascii="Helvetica" w:eastAsia="Times New Roman" w:hAnsi="Helvetica" w:cs="Helvetica"/>
          <w:color w:val="555555"/>
          <w:sz w:val="21"/>
          <w:szCs w:val="21"/>
          <w:lang w:eastAsia="es-CO"/>
        </w:rPr>
      </w:pPr>
      <w:r w:rsidRPr="00F14E64">
        <w:rPr>
          <w:rFonts w:ascii="Segoe UI" w:eastAsia="Times New Roman" w:hAnsi="Segoe UI" w:cs="Segoe UI"/>
          <w:i/>
          <w:iCs/>
          <w:color w:val="000000"/>
          <w:sz w:val="18"/>
          <w:szCs w:val="18"/>
          <w:lang w:eastAsia="es-CO"/>
        </w:rPr>
        <w:t>“Es impuesto, por consistir en una obligación pecuniaria que debe sufragar el sujeto pasivo sin ninguna contraprestación.</w:t>
      </w:r>
    </w:p>
    <w:p w14:paraId="57DDEC19" w14:textId="77777777" w:rsidR="00F14E64" w:rsidRPr="00F14E64" w:rsidRDefault="00F14E64" w:rsidP="00F14E64">
      <w:pPr>
        <w:shd w:val="clear" w:color="auto" w:fill="FFFFFF"/>
        <w:spacing w:after="150" w:line="240" w:lineRule="auto"/>
        <w:ind w:left="285"/>
        <w:jc w:val="both"/>
        <w:rPr>
          <w:rFonts w:ascii="Helvetica" w:eastAsia="Times New Roman" w:hAnsi="Helvetica" w:cs="Helvetica"/>
          <w:color w:val="555555"/>
          <w:sz w:val="21"/>
          <w:szCs w:val="21"/>
          <w:lang w:eastAsia="es-CO"/>
        </w:rPr>
      </w:pPr>
      <w:r w:rsidRPr="00F14E64">
        <w:rPr>
          <w:rFonts w:ascii="Helvetica" w:eastAsia="Times New Roman" w:hAnsi="Helvetica" w:cs="Helvetica"/>
          <w:color w:val="555555"/>
          <w:sz w:val="21"/>
          <w:szCs w:val="21"/>
          <w:lang w:eastAsia="es-CO"/>
        </w:rPr>
        <w:t> </w:t>
      </w:r>
    </w:p>
    <w:p w14:paraId="77B7669A" w14:textId="77777777" w:rsidR="00F14E64" w:rsidRPr="00F14E64" w:rsidRDefault="00F14E64" w:rsidP="00F14E64">
      <w:pPr>
        <w:shd w:val="clear" w:color="auto" w:fill="FFFFFF"/>
        <w:spacing w:after="150" w:line="240" w:lineRule="auto"/>
        <w:ind w:left="285"/>
        <w:jc w:val="both"/>
        <w:rPr>
          <w:rFonts w:ascii="Helvetica" w:eastAsia="Times New Roman" w:hAnsi="Helvetica" w:cs="Helvetica"/>
          <w:color w:val="555555"/>
          <w:sz w:val="21"/>
          <w:szCs w:val="21"/>
          <w:lang w:eastAsia="es-CO"/>
        </w:rPr>
      </w:pPr>
      <w:r w:rsidRPr="00F14E64">
        <w:rPr>
          <w:rFonts w:ascii="Segoe UI" w:eastAsia="Times New Roman" w:hAnsi="Segoe UI" w:cs="Segoe UI"/>
          <w:i/>
          <w:iCs/>
          <w:color w:val="000000"/>
          <w:sz w:val="18"/>
          <w:szCs w:val="18"/>
          <w:lang w:eastAsia="es-CO"/>
        </w:rPr>
        <w:t>Es indirecto porque entre el contribuyente, entendido como quien efectivamente asume la carga económica del impuesto y la nación como sujeto activo, acreedor de la obligación tributaria, media un intermediario denominado responsable. Jurídicamente quien asume la responsabilidad del impuesto frente al Estado no es el sujeto pasivo económico sino el responsable que por disposición legal recauda el gravamen.</w:t>
      </w:r>
    </w:p>
    <w:p w14:paraId="51E814E2" w14:textId="77777777" w:rsidR="00F14E64" w:rsidRPr="00F14E64" w:rsidRDefault="00F14E64" w:rsidP="00F14E64">
      <w:pPr>
        <w:shd w:val="clear" w:color="auto" w:fill="FFFFFF"/>
        <w:spacing w:after="150" w:line="240" w:lineRule="auto"/>
        <w:ind w:left="285"/>
        <w:jc w:val="both"/>
        <w:rPr>
          <w:rFonts w:ascii="Helvetica" w:eastAsia="Times New Roman" w:hAnsi="Helvetica" w:cs="Helvetica"/>
          <w:color w:val="555555"/>
          <w:sz w:val="21"/>
          <w:szCs w:val="21"/>
          <w:lang w:eastAsia="es-CO"/>
        </w:rPr>
      </w:pPr>
      <w:r w:rsidRPr="00F14E64">
        <w:rPr>
          <w:rFonts w:ascii="Helvetica" w:eastAsia="Times New Roman" w:hAnsi="Helvetica" w:cs="Helvetica"/>
          <w:color w:val="555555"/>
          <w:sz w:val="21"/>
          <w:szCs w:val="21"/>
          <w:lang w:eastAsia="es-CO"/>
        </w:rPr>
        <w:lastRenderedPageBreak/>
        <w:t> </w:t>
      </w:r>
    </w:p>
    <w:p w14:paraId="4F761484" w14:textId="77777777" w:rsidR="00F14E64" w:rsidRPr="00F14E64" w:rsidRDefault="00F14E64" w:rsidP="00F14E64">
      <w:pPr>
        <w:shd w:val="clear" w:color="auto" w:fill="FFFFFF"/>
        <w:spacing w:after="150" w:line="240" w:lineRule="auto"/>
        <w:ind w:left="285"/>
        <w:jc w:val="both"/>
        <w:rPr>
          <w:rFonts w:ascii="Helvetica" w:eastAsia="Times New Roman" w:hAnsi="Helvetica" w:cs="Helvetica"/>
          <w:color w:val="555555"/>
          <w:sz w:val="21"/>
          <w:szCs w:val="21"/>
          <w:lang w:eastAsia="es-CO"/>
        </w:rPr>
      </w:pPr>
      <w:r w:rsidRPr="00F14E64">
        <w:rPr>
          <w:rFonts w:ascii="Segoe UI" w:eastAsia="Times New Roman" w:hAnsi="Segoe UI" w:cs="Segoe UI"/>
          <w:b/>
          <w:bCs/>
          <w:i/>
          <w:iCs/>
          <w:color w:val="000000"/>
          <w:sz w:val="18"/>
          <w:szCs w:val="18"/>
          <w:u w:val="single"/>
          <w:lang w:eastAsia="es-CO"/>
        </w:rPr>
        <w:t>Es de naturaleza real por cuanto afecta o recae sobre bienes y servicios, sin consideración alguna a la calidad de las personas que intervienen en la operación</w:t>
      </w:r>
      <w:r w:rsidRPr="00F14E64">
        <w:rPr>
          <w:rFonts w:ascii="Segoe UI" w:eastAsia="Times New Roman" w:hAnsi="Segoe UI" w:cs="Segoe UI"/>
          <w:i/>
          <w:iCs/>
          <w:color w:val="000000"/>
          <w:sz w:val="18"/>
          <w:szCs w:val="18"/>
          <w:lang w:eastAsia="es-CO"/>
        </w:rPr>
        <w:t>.</w:t>
      </w:r>
    </w:p>
    <w:p w14:paraId="7FFDF3CD" w14:textId="77777777" w:rsidR="00F14E64" w:rsidRPr="00F14E64" w:rsidRDefault="00F14E64" w:rsidP="00F14E64">
      <w:pPr>
        <w:shd w:val="clear" w:color="auto" w:fill="FFFFFF"/>
        <w:spacing w:after="150" w:line="240" w:lineRule="auto"/>
        <w:ind w:left="285"/>
        <w:jc w:val="both"/>
        <w:rPr>
          <w:rFonts w:ascii="Helvetica" w:eastAsia="Times New Roman" w:hAnsi="Helvetica" w:cs="Helvetica"/>
          <w:color w:val="555555"/>
          <w:sz w:val="21"/>
          <w:szCs w:val="21"/>
          <w:lang w:eastAsia="es-CO"/>
        </w:rPr>
      </w:pPr>
      <w:r w:rsidRPr="00F14E64">
        <w:rPr>
          <w:rFonts w:ascii="Helvetica" w:eastAsia="Times New Roman" w:hAnsi="Helvetica" w:cs="Helvetica"/>
          <w:color w:val="555555"/>
          <w:sz w:val="21"/>
          <w:szCs w:val="21"/>
          <w:lang w:eastAsia="es-CO"/>
        </w:rPr>
        <w:t> </w:t>
      </w:r>
    </w:p>
    <w:p w14:paraId="4C7EF63C" w14:textId="77777777" w:rsidR="00F14E64" w:rsidRPr="00F14E64" w:rsidRDefault="00F14E64" w:rsidP="00F14E64">
      <w:pPr>
        <w:shd w:val="clear" w:color="auto" w:fill="FFFFFF"/>
        <w:spacing w:after="150" w:line="240" w:lineRule="auto"/>
        <w:ind w:left="285"/>
        <w:jc w:val="both"/>
        <w:rPr>
          <w:rFonts w:ascii="Helvetica" w:eastAsia="Times New Roman" w:hAnsi="Helvetica" w:cs="Helvetica"/>
          <w:color w:val="555555"/>
          <w:sz w:val="21"/>
          <w:szCs w:val="21"/>
          <w:lang w:eastAsia="es-CO"/>
        </w:rPr>
      </w:pPr>
      <w:r w:rsidRPr="00F14E64">
        <w:rPr>
          <w:rFonts w:ascii="Segoe UI" w:eastAsia="Times New Roman" w:hAnsi="Segoe UI" w:cs="Segoe UI"/>
          <w:i/>
          <w:iCs/>
          <w:color w:val="000000"/>
          <w:sz w:val="18"/>
          <w:szCs w:val="18"/>
          <w:lang w:eastAsia="es-CO"/>
        </w:rPr>
        <w:t>(…)</w:t>
      </w:r>
    </w:p>
    <w:p w14:paraId="3DB931E4" w14:textId="77777777" w:rsidR="00F14E64" w:rsidRPr="00F14E64" w:rsidRDefault="00F14E64" w:rsidP="00F14E64">
      <w:pPr>
        <w:shd w:val="clear" w:color="auto" w:fill="FFFFFF"/>
        <w:spacing w:after="150" w:line="240" w:lineRule="auto"/>
        <w:ind w:left="285"/>
        <w:jc w:val="both"/>
        <w:rPr>
          <w:rFonts w:ascii="Helvetica" w:eastAsia="Times New Roman" w:hAnsi="Helvetica" w:cs="Helvetica"/>
          <w:color w:val="555555"/>
          <w:sz w:val="21"/>
          <w:szCs w:val="21"/>
          <w:lang w:eastAsia="es-CO"/>
        </w:rPr>
      </w:pPr>
      <w:r w:rsidRPr="00F14E64">
        <w:rPr>
          <w:rFonts w:ascii="Helvetica" w:eastAsia="Times New Roman" w:hAnsi="Helvetica" w:cs="Helvetica"/>
          <w:color w:val="555555"/>
          <w:sz w:val="21"/>
          <w:szCs w:val="21"/>
          <w:lang w:eastAsia="es-CO"/>
        </w:rPr>
        <w:t> </w:t>
      </w:r>
    </w:p>
    <w:p w14:paraId="04BBC65B" w14:textId="77777777" w:rsidR="00F14E64" w:rsidRPr="00F14E64" w:rsidRDefault="00F14E64" w:rsidP="00F14E64">
      <w:pPr>
        <w:shd w:val="clear" w:color="auto" w:fill="FFFFFF"/>
        <w:spacing w:after="150" w:line="240" w:lineRule="auto"/>
        <w:ind w:left="285"/>
        <w:jc w:val="both"/>
        <w:rPr>
          <w:rFonts w:ascii="Helvetica" w:eastAsia="Times New Roman" w:hAnsi="Helvetica" w:cs="Helvetica"/>
          <w:color w:val="555555"/>
          <w:sz w:val="21"/>
          <w:szCs w:val="21"/>
          <w:lang w:eastAsia="es-CO"/>
        </w:rPr>
      </w:pPr>
      <w:r w:rsidRPr="00F14E64">
        <w:rPr>
          <w:rFonts w:ascii="Segoe UI" w:eastAsia="Times New Roman" w:hAnsi="Segoe UI" w:cs="Segoe UI"/>
          <w:i/>
          <w:iCs/>
          <w:color w:val="000000"/>
          <w:sz w:val="18"/>
          <w:szCs w:val="18"/>
          <w:lang w:eastAsia="es-CO"/>
        </w:rPr>
        <w:t>Es un impuesto de régimen de gravamen general conforme con el cual</w:t>
      </w:r>
      <w:r w:rsidRPr="00F14E64">
        <w:rPr>
          <w:rFonts w:ascii="Segoe UI" w:eastAsia="Times New Roman" w:hAnsi="Segoe UI" w:cs="Segoe UI"/>
          <w:b/>
          <w:bCs/>
          <w:i/>
          <w:iCs/>
          <w:color w:val="000000"/>
          <w:sz w:val="18"/>
          <w:szCs w:val="18"/>
          <w:lang w:eastAsia="es-CO"/>
        </w:rPr>
        <w:t>, </w:t>
      </w:r>
      <w:r w:rsidRPr="00F14E64">
        <w:rPr>
          <w:rFonts w:ascii="Segoe UI" w:eastAsia="Times New Roman" w:hAnsi="Segoe UI" w:cs="Segoe UI"/>
          <w:b/>
          <w:bCs/>
          <w:i/>
          <w:iCs/>
          <w:color w:val="000000"/>
          <w:sz w:val="18"/>
          <w:szCs w:val="18"/>
          <w:u w:val="single"/>
          <w:lang w:eastAsia="es-CO"/>
        </w:rPr>
        <w:t>la regla general es la causación del impuesto y la excepción la constituyen las exclusiones expresamente contempladas en la Ley</w:t>
      </w:r>
      <w:r w:rsidRPr="00F14E64">
        <w:rPr>
          <w:rFonts w:ascii="Segoe UI" w:eastAsia="Times New Roman" w:hAnsi="Segoe UI" w:cs="Segoe UI"/>
          <w:color w:val="000000"/>
          <w:sz w:val="18"/>
          <w:szCs w:val="18"/>
          <w:u w:val="single"/>
          <w:lang w:eastAsia="es-CO"/>
        </w:rPr>
        <w:t>.</w:t>
      </w:r>
      <w:r w:rsidRPr="00F14E64">
        <w:rPr>
          <w:rFonts w:ascii="Segoe UI" w:eastAsia="Times New Roman" w:hAnsi="Segoe UI" w:cs="Segoe UI"/>
          <w:color w:val="000000"/>
          <w:sz w:val="18"/>
          <w:szCs w:val="18"/>
          <w:lang w:eastAsia="es-CO"/>
        </w:rPr>
        <w:t>” (Subrayado y negrilla por fuera de texto).</w:t>
      </w:r>
    </w:p>
    <w:p w14:paraId="32B55253" w14:textId="77777777" w:rsidR="00F14E64" w:rsidRPr="00F14E64" w:rsidRDefault="00F14E64" w:rsidP="00F14E64">
      <w:pPr>
        <w:shd w:val="clear" w:color="auto" w:fill="FFFFFF"/>
        <w:spacing w:after="150" w:line="240" w:lineRule="auto"/>
        <w:jc w:val="both"/>
        <w:rPr>
          <w:rFonts w:ascii="Helvetica" w:eastAsia="Times New Roman" w:hAnsi="Helvetica" w:cs="Helvetica"/>
          <w:color w:val="555555"/>
          <w:sz w:val="21"/>
          <w:szCs w:val="21"/>
          <w:lang w:eastAsia="es-CO"/>
        </w:rPr>
      </w:pPr>
      <w:r w:rsidRPr="00F14E64">
        <w:rPr>
          <w:rFonts w:ascii="Helvetica" w:eastAsia="Times New Roman" w:hAnsi="Helvetica" w:cs="Helvetica"/>
          <w:color w:val="555555"/>
          <w:sz w:val="21"/>
          <w:szCs w:val="21"/>
          <w:lang w:eastAsia="es-CO"/>
        </w:rPr>
        <w:t> </w:t>
      </w:r>
    </w:p>
    <w:p w14:paraId="7123F5A5" w14:textId="77777777" w:rsidR="00F14E64" w:rsidRPr="00F14E64" w:rsidRDefault="00F14E64" w:rsidP="00F14E64">
      <w:pPr>
        <w:shd w:val="clear" w:color="auto" w:fill="FFFFFF"/>
        <w:spacing w:after="150" w:line="240" w:lineRule="auto"/>
        <w:jc w:val="both"/>
        <w:rPr>
          <w:rFonts w:ascii="Helvetica" w:eastAsia="Times New Roman" w:hAnsi="Helvetica" w:cs="Helvetica"/>
          <w:color w:val="555555"/>
          <w:sz w:val="21"/>
          <w:szCs w:val="21"/>
          <w:lang w:eastAsia="es-CO"/>
        </w:rPr>
      </w:pPr>
      <w:r w:rsidRPr="00F14E64">
        <w:rPr>
          <w:rFonts w:ascii="Segoe UI" w:eastAsia="Times New Roman" w:hAnsi="Segoe UI" w:cs="Segoe UI"/>
          <w:color w:val="000000"/>
          <w:sz w:val="18"/>
          <w:szCs w:val="18"/>
          <w:lang w:eastAsia="es-CO"/>
        </w:rPr>
        <w:t xml:space="preserve">En este contexto, es claro que el impuesto sobre las ventas se causa cuando tiene lugar alguno de los supuestos de hechos señalados por el legislador como generadores </w:t>
      </w:r>
      <w:proofErr w:type="gramStart"/>
      <w:r w:rsidRPr="00F14E64">
        <w:rPr>
          <w:rFonts w:ascii="Segoe UI" w:eastAsia="Times New Roman" w:hAnsi="Segoe UI" w:cs="Segoe UI"/>
          <w:color w:val="000000"/>
          <w:sz w:val="18"/>
          <w:szCs w:val="18"/>
          <w:lang w:eastAsia="es-CO"/>
        </w:rPr>
        <w:t>del mismo</w:t>
      </w:r>
      <w:proofErr w:type="gramEnd"/>
      <w:r w:rsidRPr="00F14E64">
        <w:rPr>
          <w:rFonts w:ascii="Segoe UI" w:eastAsia="Times New Roman" w:hAnsi="Segoe UI" w:cs="Segoe UI"/>
          <w:color w:val="000000"/>
          <w:sz w:val="18"/>
          <w:szCs w:val="18"/>
          <w:lang w:eastAsia="es-CO"/>
        </w:rPr>
        <w:t>, entre ellos la prestación de servicios en el territorio nacional, o desde el exterior, </w:t>
      </w:r>
      <w:r w:rsidRPr="00F14E64">
        <w:rPr>
          <w:rFonts w:ascii="Segoe UI" w:eastAsia="Times New Roman" w:hAnsi="Segoe UI" w:cs="Segoe UI"/>
          <w:color w:val="000000"/>
          <w:sz w:val="18"/>
          <w:szCs w:val="18"/>
          <w:u w:val="single"/>
          <w:lang w:eastAsia="es-CO"/>
        </w:rPr>
        <w:t>con excepción de los expresamente excluidos</w:t>
      </w:r>
      <w:r w:rsidRPr="00F14E64">
        <w:rPr>
          <w:rFonts w:ascii="Segoe UI" w:eastAsia="Times New Roman" w:hAnsi="Segoe UI" w:cs="Segoe UI"/>
          <w:color w:val="000000"/>
          <w:sz w:val="18"/>
          <w:szCs w:val="18"/>
          <w:lang w:eastAsia="es-CO"/>
        </w:rPr>
        <w:t> (Artículo 420 del Estatuto Tributario). Siendo la excepción a esta regla general, como lo indica la misma norma, los eventos de exclusión expresamente señalados por el legislador, como es el caso del artículo 476 del Estatuto Tributario que establece los servicios excluidos de este impuesto. Particularmente, esta norma en su numeral 1 excluye del impuesto la prestación de los </w:t>
      </w:r>
      <w:r w:rsidRPr="00F14E64">
        <w:rPr>
          <w:rFonts w:ascii="Segoe UI" w:eastAsia="Times New Roman" w:hAnsi="Segoe UI" w:cs="Segoe UI"/>
          <w:b/>
          <w:bCs/>
          <w:color w:val="000000"/>
          <w:sz w:val="18"/>
          <w:szCs w:val="18"/>
          <w:lang w:eastAsia="es-CO"/>
        </w:rPr>
        <w:t>servicios de salud humana </w:t>
      </w:r>
      <w:r w:rsidRPr="00F14E64">
        <w:rPr>
          <w:rFonts w:ascii="Segoe UI" w:eastAsia="Times New Roman" w:hAnsi="Segoe UI" w:cs="Segoe UI"/>
          <w:color w:val="000000"/>
          <w:sz w:val="18"/>
          <w:szCs w:val="18"/>
          <w:lang w:eastAsia="es-CO"/>
        </w:rPr>
        <w:t>allí relacionados: </w:t>
      </w:r>
      <w:r w:rsidRPr="00F14E64">
        <w:rPr>
          <w:rFonts w:ascii="Segoe UI" w:eastAsia="Times New Roman" w:hAnsi="Segoe UI" w:cs="Segoe UI"/>
          <w:b/>
          <w:bCs/>
          <w:i/>
          <w:iCs/>
          <w:color w:val="000000"/>
          <w:sz w:val="18"/>
          <w:szCs w:val="18"/>
          <w:lang w:eastAsia="es-CO"/>
        </w:rPr>
        <w:t>“Los servicios médicos, odontológicos, hospitalarios, clínicos y de laboratorio, para la salud humana”</w:t>
      </w:r>
      <w:r w:rsidRPr="00F14E64">
        <w:rPr>
          <w:rFonts w:ascii="Segoe UI" w:eastAsia="Times New Roman" w:hAnsi="Segoe UI" w:cs="Segoe UI"/>
          <w:i/>
          <w:iCs/>
          <w:color w:val="000000"/>
          <w:sz w:val="18"/>
          <w:szCs w:val="18"/>
          <w:lang w:eastAsia="es-CO"/>
        </w:rPr>
        <w:t>.</w:t>
      </w:r>
    </w:p>
    <w:p w14:paraId="0B939D53" w14:textId="77777777" w:rsidR="00F14E64" w:rsidRPr="00F14E64" w:rsidRDefault="00F14E64" w:rsidP="00F14E64">
      <w:pPr>
        <w:shd w:val="clear" w:color="auto" w:fill="FFFFFF"/>
        <w:spacing w:after="150" w:line="240" w:lineRule="auto"/>
        <w:jc w:val="both"/>
        <w:rPr>
          <w:rFonts w:ascii="Helvetica" w:eastAsia="Times New Roman" w:hAnsi="Helvetica" w:cs="Helvetica"/>
          <w:color w:val="555555"/>
          <w:sz w:val="21"/>
          <w:szCs w:val="21"/>
          <w:lang w:eastAsia="es-CO"/>
        </w:rPr>
      </w:pPr>
      <w:r w:rsidRPr="00F14E64">
        <w:rPr>
          <w:rFonts w:ascii="Helvetica" w:eastAsia="Times New Roman" w:hAnsi="Helvetica" w:cs="Helvetica"/>
          <w:color w:val="555555"/>
          <w:sz w:val="21"/>
          <w:szCs w:val="21"/>
          <w:lang w:eastAsia="es-CO"/>
        </w:rPr>
        <w:t> </w:t>
      </w:r>
    </w:p>
    <w:p w14:paraId="39073FA9" w14:textId="77777777" w:rsidR="00F14E64" w:rsidRPr="00F14E64" w:rsidRDefault="00F14E64" w:rsidP="00F14E64">
      <w:pPr>
        <w:shd w:val="clear" w:color="auto" w:fill="FFFFFF"/>
        <w:spacing w:after="150" w:line="240" w:lineRule="auto"/>
        <w:jc w:val="both"/>
        <w:rPr>
          <w:rFonts w:ascii="Helvetica" w:eastAsia="Times New Roman" w:hAnsi="Helvetica" w:cs="Helvetica"/>
          <w:color w:val="555555"/>
          <w:sz w:val="21"/>
          <w:szCs w:val="21"/>
          <w:lang w:eastAsia="es-CO"/>
        </w:rPr>
      </w:pPr>
      <w:r w:rsidRPr="00F14E64">
        <w:rPr>
          <w:rFonts w:ascii="Segoe UI" w:eastAsia="Times New Roman" w:hAnsi="Segoe UI" w:cs="Segoe UI"/>
          <w:color w:val="000000"/>
          <w:sz w:val="18"/>
          <w:szCs w:val="18"/>
          <w:lang w:eastAsia="es-CO"/>
        </w:rPr>
        <w:t>Tratándose entonces de la aplicación del numeral 1 del artículo 476 del Estatuto Tributario, esto es, de la prestación de </w:t>
      </w:r>
      <w:r w:rsidRPr="00F14E64">
        <w:rPr>
          <w:rFonts w:ascii="Segoe UI" w:eastAsia="Times New Roman" w:hAnsi="Segoe UI" w:cs="Segoe UI"/>
          <w:b/>
          <w:bCs/>
          <w:color w:val="000000"/>
          <w:sz w:val="18"/>
          <w:szCs w:val="18"/>
          <w:lang w:eastAsia="es-CO"/>
        </w:rPr>
        <w:t>servicios para la salud humana allí señalados</w:t>
      </w:r>
      <w:r w:rsidRPr="00F14E64">
        <w:rPr>
          <w:rFonts w:ascii="Segoe UI" w:eastAsia="Times New Roman" w:hAnsi="Segoe UI" w:cs="Segoe UI"/>
          <w:color w:val="000000"/>
          <w:sz w:val="18"/>
          <w:szCs w:val="18"/>
          <w:lang w:eastAsia="es-CO"/>
        </w:rPr>
        <w:t>, es posible concluir que, independientemente de quien preste el servicio, bien sea una persona natural o jurídica autorizada, una IPS o un médico particular, estos están excluidos del impuesto sobre las ventas. Así mismo, puede concluirse que la exclusión no atiende al origen de los recursos destinados a la prestación de dichos servicios.</w:t>
      </w:r>
    </w:p>
    <w:p w14:paraId="66220D4F" w14:textId="77777777" w:rsidR="00F14E64" w:rsidRPr="00F14E64" w:rsidRDefault="00F14E64" w:rsidP="00F14E64">
      <w:pPr>
        <w:shd w:val="clear" w:color="auto" w:fill="FFFFFF"/>
        <w:spacing w:after="150" w:line="240" w:lineRule="auto"/>
        <w:jc w:val="both"/>
        <w:rPr>
          <w:rFonts w:ascii="Helvetica" w:eastAsia="Times New Roman" w:hAnsi="Helvetica" w:cs="Helvetica"/>
          <w:color w:val="555555"/>
          <w:sz w:val="21"/>
          <w:szCs w:val="21"/>
          <w:lang w:eastAsia="es-CO"/>
        </w:rPr>
      </w:pPr>
      <w:r w:rsidRPr="00F14E64">
        <w:rPr>
          <w:rFonts w:ascii="Helvetica" w:eastAsia="Times New Roman" w:hAnsi="Helvetica" w:cs="Helvetica"/>
          <w:color w:val="555555"/>
          <w:sz w:val="21"/>
          <w:szCs w:val="21"/>
          <w:lang w:eastAsia="es-CO"/>
        </w:rPr>
        <w:t> </w:t>
      </w:r>
    </w:p>
    <w:p w14:paraId="43658483" w14:textId="77777777" w:rsidR="00F14E64" w:rsidRPr="00F14E64" w:rsidRDefault="00F14E64" w:rsidP="00F14E64">
      <w:pPr>
        <w:shd w:val="clear" w:color="auto" w:fill="FFFFFF"/>
        <w:spacing w:after="150" w:line="240" w:lineRule="auto"/>
        <w:ind w:left="285"/>
        <w:jc w:val="both"/>
        <w:rPr>
          <w:rFonts w:ascii="Helvetica" w:eastAsia="Times New Roman" w:hAnsi="Helvetica" w:cs="Helvetica"/>
          <w:color w:val="555555"/>
          <w:sz w:val="21"/>
          <w:szCs w:val="21"/>
          <w:lang w:eastAsia="es-CO"/>
        </w:rPr>
      </w:pPr>
      <w:r w:rsidRPr="00F14E64">
        <w:rPr>
          <w:rFonts w:ascii="Segoe UI" w:eastAsia="Times New Roman" w:hAnsi="Segoe UI" w:cs="Segoe UI"/>
          <w:color w:val="000000"/>
          <w:sz w:val="18"/>
          <w:szCs w:val="18"/>
          <w:lang w:eastAsia="es-CO"/>
        </w:rPr>
        <w:t>2. Adicionalmente, considerando las sentencias de la Corte Constitucional que menciona la peticionaria y los </w:t>
      </w:r>
      <w:r w:rsidRPr="00F14E64">
        <w:rPr>
          <w:rFonts w:ascii="Segoe UI" w:eastAsia="Times New Roman" w:hAnsi="Segoe UI" w:cs="Segoe UI"/>
          <w:b/>
          <w:bCs/>
          <w:color w:val="000000"/>
          <w:sz w:val="18"/>
          <w:szCs w:val="18"/>
          <w:lang w:eastAsia="es-CO"/>
        </w:rPr>
        <w:t>servicios asociados a la seguridad social </w:t>
      </w:r>
      <w:r w:rsidRPr="00F14E64">
        <w:rPr>
          <w:rFonts w:ascii="Segoe UI" w:eastAsia="Times New Roman" w:hAnsi="Segoe UI" w:cs="Segoe UI"/>
          <w:color w:val="000000"/>
          <w:sz w:val="18"/>
          <w:szCs w:val="18"/>
          <w:lang w:eastAsia="es-CO"/>
        </w:rPr>
        <w:t>en lo que a salud se refiere, es preciso recordar que el mismo artículo 476 del Estatuto Tributario, en sus numerales 2 y 3 incluye como excluidos los siguientes:</w:t>
      </w:r>
    </w:p>
    <w:p w14:paraId="28997640" w14:textId="77777777" w:rsidR="00F14E64" w:rsidRPr="00F14E64" w:rsidRDefault="00F14E64" w:rsidP="00F14E64">
      <w:pPr>
        <w:shd w:val="clear" w:color="auto" w:fill="FFFFFF"/>
        <w:spacing w:after="150" w:line="240" w:lineRule="auto"/>
        <w:ind w:left="285"/>
        <w:jc w:val="both"/>
        <w:rPr>
          <w:rFonts w:ascii="Helvetica" w:eastAsia="Times New Roman" w:hAnsi="Helvetica" w:cs="Helvetica"/>
          <w:color w:val="555555"/>
          <w:sz w:val="21"/>
          <w:szCs w:val="21"/>
          <w:lang w:eastAsia="es-CO"/>
        </w:rPr>
      </w:pPr>
      <w:r w:rsidRPr="00F14E64">
        <w:rPr>
          <w:rFonts w:ascii="Helvetica" w:eastAsia="Times New Roman" w:hAnsi="Helvetica" w:cs="Helvetica"/>
          <w:color w:val="555555"/>
          <w:sz w:val="21"/>
          <w:szCs w:val="21"/>
          <w:lang w:eastAsia="es-CO"/>
        </w:rPr>
        <w:t> </w:t>
      </w:r>
    </w:p>
    <w:p w14:paraId="225A34DE" w14:textId="77777777" w:rsidR="00F14E64" w:rsidRPr="00F14E64" w:rsidRDefault="00F14E64" w:rsidP="00F14E64">
      <w:pPr>
        <w:shd w:val="clear" w:color="auto" w:fill="FFFFFF"/>
        <w:spacing w:after="150" w:line="240" w:lineRule="auto"/>
        <w:ind w:left="285"/>
        <w:jc w:val="both"/>
        <w:rPr>
          <w:rFonts w:ascii="Helvetica" w:eastAsia="Times New Roman" w:hAnsi="Helvetica" w:cs="Helvetica"/>
          <w:color w:val="555555"/>
          <w:sz w:val="21"/>
          <w:szCs w:val="21"/>
          <w:lang w:eastAsia="es-CO"/>
        </w:rPr>
      </w:pPr>
      <w:r w:rsidRPr="00F14E64">
        <w:rPr>
          <w:rFonts w:ascii="Segoe UI" w:eastAsia="Times New Roman" w:hAnsi="Segoe UI" w:cs="Segoe UI"/>
          <w:i/>
          <w:iCs/>
          <w:color w:val="000000"/>
          <w:sz w:val="18"/>
          <w:szCs w:val="18"/>
          <w:lang w:eastAsia="es-CO"/>
        </w:rPr>
        <w:t>“2. Los servicios de administración de fondos del Estado y </w:t>
      </w:r>
      <w:r w:rsidRPr="00F14E64">
        <w:rPr>
          <w:rFonts w:ascii="Segoe UI" w:eastAsia="Times New Roman" w:hAnsi="Segoe UI" w:cs="Segoe UI"/>
          <w:b/>
          <w:bCs/>
          <w:i/>
          <w:iCs/>
          <w:color w:val="000000"/>
          <w:sz w:val="18"/>
          <w:szCs w:val="18"/>
          <w:lang w:eastAsia="es-CO"/>
        </w:rPr>
        <w:t>los servicios vinculados con la seguridad social </w:t>
      </w:r>
      <w:r w:rsidRPr="00F14E64">
        <w:rPr>
          <w:rFonts w:ascii="Segoe UI" w:eastAsia="Times New Roman" w:hAnsi="Segoe UI" w:cs="Segoe UI"/>
          <w:i/>
          <w:iCs/>
          <w:color w:val="000000"/>
          <w:sz w:val="18"/>
          <w:szCs w:val="18"/>
          <w:lang w:eastAsia="es-CO"/>
        </w:rPr>
        <w:t>de acuerdo con lo previsto en la Ley 100 de 1993.</w:t>
      </w:r>
    </w:p>
    <w:p w14:paraId="79AAE44A" w14:textId="77777777" w:rsidR="00F14E64" w:rsidRPr="00F14E64" w:rsidRDefault="00F14E64" w:rsidP="00F14E64">
      <w:pPr>
        <w:shd w:val="clear" w:color="auto" w:fill="FFFFFF"/>
        <w:spacing w:after="150" w:line="240" w:lineRule="auto"/>
        <w:ind w:left="285"/>
        <w:jc w:val="both"/>
        <w:rPr>
          <w:rFonts w:ascii="Helvetica" w:eastAsia="Times New Roman" w:hAnsi="Helvetica" w:cs="Helvetica"/>
          <w:color w:val="555555"/>
          <w:sz w:val="21"/>
          <w:szCs w:val="21"/>
          <w:lang w:eastAsia="es-CO"/>
        </w:rPr>
      </w:pPr>
      <w:r w:rsidRPr="00F14E64">
        <w:rPr>
          <w:rFonts w:ascii="Helvetica" w:eastAsia="Times New Roman" w:hAnsi="Helvetica" w:cs="Helvetica"/>
          <w:color w:val="555555"/>
          <w:sz w:val="21"/>
          <w:szCs w:val="21"/>
          <w:lang w:eastAsia="es-CO"/>
        </w:rPr>
        <w:t> </w:t>
      </w:r>
    </w:p>
    <w:p w14:paraId="2C04DB34" w14:textId="77777777" w:rsidR="00F14E64" w:rsidRPr="00F14E64" w:rsidRDefault="00F14E64" w:rsidP="00F14E64">
      <w:pPr>
        <w:shd w:val="clear" w:color="auto" w:fill="FFFFFF"/>
        <w:spacing w:after="150" w:line="240" w:lineRule="auto"/>
        <w:ind w:left="285"/>
        <w:jc w:val="both"/>
        <w:rPr>
          <w:rFonts w:ascii="Helvetica" w:eastAsia="Times New Roman" w:hAnsi="Helvetica" w:cs="Helvetica"/>
          <w:color w:val="555555"/>
          <w:sz w:val="21"/>
          <w:szCs w:val="21"/>
          <w:lang w:eastAsia="es-CO"/>
        </w:rPr>
      </w:pPr>
      <w:r w:rsidRPr="00F14E64">
        <w:rPr>
          <w:rFonts w:ascii="Segoe UI" w:eastAsia="Times New Roman" w:hAnsi="Segoe UI" w:cs="Segoe UI"/>
          <w:i/>
          <w:iCs/>
          <w:color w:val="000000"/>
          <w:sz w:val="18"/>
          <w:szCs w:val="18"/>
          <w:lang w:eastAsia="es-CO"/>
        </w:rPr>
        <w:t>3. Los </w:t>
      </w:r>
      <w:r w:rsidRPr="00F14E64">
        <w:rPr>
          <w:rFonts w:ascii="Segoe UI" w:eastAsia="Times New Roman" w:hAnsi="Segoe UI" w:cs="Segoe UI"/>
          <w:b/>
          <w:bCs/>
          <w:i/>
          <w:iCs/>
          <w:color w:val="000000"/>
          <w:sz w:val="18"/>
          <w:szCs w:val="18"/>
          <w:lang w:eastAsia="es-CO"/>
        </w:rPr>
        <w:t>planes obligatorios de salud del sistema de seguridad social en salud expedidos por entidades autorizadas por la Superintendencia Nacional de Salud</w:t>
      </w:r>
      <w:r w:rsidRPr="00F14E64">
        <w:rPr>
          <w:rFonts w:ascii="Segoe UI" w:eastAsia="Times New Roman" w:hAnsi="Segoe UI" w:cs="Segoe UI"/>
          <w:i/>
          <w:iCs/>
          <w:color w:val="000000"/>
          <w:sz w:val="18"/>
          <w:szCs w:val="18"/>
          <w:lang w:eastAsia="es-CO"/>
        </w:rPr>
        <w:t>, los servicios prestados por las administradoras dentro del régimen de ahorro individual con solidaridad y de prima media con prestación definida, los servicios prestados por administradoras de riesgos laborales y los servicios de seguros y reaseguros para invalidez y sobrevivientes, contemplados dentro del régimen de ahorro individual con solidaridad a que se refiere el artículo 135 de la Ley 100 de 1993 o las disposiciones que la modifiquen o sustituyan”. </w:t>
      </w:r>
      <w:r w:rsidRPr="00F14E64">
        <w:rPr>
          <w:rFonts w:ascii="Segoe UI" w:eastAsia="Times New Roman" w:hAnsi="Segoe UI" w:cs="Segoe UI"/>
          <w:color w:val="000000"/>
          <w:sz w:val="18"/>
          <w:szCs w:val="18"/>
          <w:lang w:eastAsia="es-CO"/>
        </w:rPr>
        <w:t>(Negrilla por fuera de texto).</w:t>
      </w:r>
    </w:p>
    <w:p w14:paraId="515A1828" w14:textId="77777777" w:rsidR="00F14E64" w:rsidRPr="00F14E64" w:rsidRDefault="00F14E64" w:rsidP="00F14E64">
      <w:pPr>
        <w:shd w:val="clear" w:color="auto" w:fill="FFFFFF"/>
        <w:spacing w:after="150" w:line="240" w:lineRule="auto"/>
        <w:ind w:left="285"/>
        <w:jc w:val="both"/>
        <w:rPr>
          <w:rFonts w:ascii="Helvetica" w:eastAsia="Times New Roman" w:hAnsi="Helvetica" w:cs="Helvetica"/>
          <w:color w:val="555555"/>
          <w:sz w:val="21"/>
          <w:szCs w:val="21"/>
          <w:lang w:eastAsia="es-CO"/>
        </w:rPr>
      </w:pPr>
      <w:r w:rsidRPr="00F14E64">
        <w:rPr>
          <w:rFonts w:ascii="Helvetica" w:eastAsia="Times New Roman" w:hAnsi="Helvetica" w:cs="Helvetica"/>
          <w:color w:val="555555"/>
          <w:sz w:val="21"/>
          <w:szCs w:val="21"/>
          <w:lang w:eastAsia="es-CO"/>
        </w:rPr>
        <w:t> </w:t>
      </w:r>
    </w:p>
    <w:p w14:paraId="085D8E33" w14:textId="77777777" w:rsidR="00F14E64" w:rsidRPr="00F14E64" w:rsidRDefault="00F14E64" w:rsidP="00F14E64">
      <w:pPr>
        <w:shd w:val="clear" w:color="auto" w:fill="FFFFFF"/>
        <w:spacing w:after="150" w:line="240" w:lineRule="auto"/>
        <w:jc w:val="both"/>
        <w:rPr>
          <w:rFonts w:ascii="Helvetica" w:eastAsia="Times New Roman" w:hAnsi="Helvetica" w:cs="Helvetica"/>
          <w:color w:val="555555"/>
          <w:sz w:val="21"/>
          <w:szCs w:val="21"/>
          <w:lang w:eastAsia="es-CO"/>
        </w:rPr>
      </w:pPr>
      <w:r w:rsidRPr="00F14E64">
        <w:rPr>
          <w:rFonts w:ascii="Segoe UI" w:eastAsia="Times New Roman" w:hAnsi="Segoe UI" w:cs="Segoe UI"/>
          <w:color w:val="000000"/>
          <w:sz w:val="18"/>
          <w:szCs w:val="18"/>
          <w:lang w:eastAsia="es-CO"/>
        </w:rPr>
        <w:t>Al respecto es necesario señalar que existe abundante doctrina tendiente a precisar cómo aplica la exclusión del IVA en relación con dichos numerales. Entre otros, cabe mencionar el Oficio 000345 de 2020, a través del cual se resolvió una solicitud donde se consultó precisamente acerca de la aplicación de las exclusiones del impuesto sobre las ventas que trae el artículo 476 del Estatuto Tributario, referidas a los servicios vinculados con el sistema de seguridad social al tratarse de Instituciones Prestadoras de Servicios de Salud (IPS) y Entidades Promotoras de Salud (EPS), y en donde se solicitó la reconsideración del Concepto No. 900758 de 2019. En dicho Oficio 000345, entre otros aspectos, se indicó lo siguiente:</w:t>
      </w:r>
    </w:p>
    <w:p w14:paraId="082501F0" w14:textId="77777777" w:rsidR="00F14E64" w:rsidRPr="00F14E64" w:rsidRDefault="00F14E64" w:rsidP="00F14E64">
      <w:pPr>
        <w:shd w:val="clear" w:color="auto" w:fill="FFFFFF"/>
        <w:spacing w:after="150" w:line="240" w:lineRule="auto"/>
        <w:jc w:val="both"/>
        <w:rPr>
          <w:rFonts w:ascii="Helvetica" w:eastAsia="Times New Roman" w:hAnsi="Helvetica" w:cs="Helvetica"/>
          <w:color w:val="555555"/>
          <w:sz w:val="21"/>
          <w:szCs w:val="21"/>
          <w:lang w:eastAsia="es-CO"/>
        </w:rPr>
      </w:pPr>
      <w:r w:rsidRPr="00F14E64">
        <w:rPr>
          <w:rFonts w:ascii="Helvetica" w:eastAsia="Times New Roman" w:hAnsi="Helvetica" w:cs="Helvetica"/>
          <w:color w:val="555555"/>
          <w:sz w:val="21"/>
          <w:szCs w:val="21"/>
          <w:lang w:eastAsia="es-CO"/>
        </w:rPr>
        <w:t> </w:t>
      </w:r>
    </w:p>
    <w:p w14:paraId="0EC80BA3" w14:textId="77777777" w:rsidR="00F14E64" w:rsidRPr="00F14E64" w:rsidRDefault="00F14E64" w:rsidP="00F14E64">
      <w:pPr>
        <w:shd w:val="clear" w:color="auto" w:fill="FFFFFF"/>
        <w:spacing w:after="150" w:line="240" w:lineRule="auto"/>
        <w:ind w:left="285"/>
        <w:jc w:val="both"/>
        <w:rPr>
          <w:rFonts w:ascii="Helvetica" w:eastAsia="Times New Roman" w:hAnsi="Helvetica" w:cs="Helvetica"/>
          <w:color w:val="555555"/>
          <w:sz w:val="21"/>
          <w:szCs w:val="21"/>
          <w:lang w:eastAsia="es-CO"/>
        </w:rPr>
      </w:pPr>
      <w:r w:rsidRPr="00F14E64">
        <w:rPr>
          <w:rFonts w:ascii="Segoe UI" w:eastAsia="Times New Roman" w:hAnsi="Segoe UI" w:cs="Segoe UI"/>
          <w:i/>
          <w:iCs/>
          <w:color w:val="000000"/>
          <w:sz w:val="18"/>
          <w:szCs w:val="18"/>
          <w:lang w:eastAsia="es-CO"/>
        </w:rPr>
        <w:t>“(…)</w:t>
      </w:r>
    </w:p>
    <w:p w14:paraId="2B732F94" w14:textId="77777777" w:rsidR="00F14E64" w:rsidRPr="00F14E64" w:rsidRDefault="00F14E64" w:rsidP="00F14E64">
      <w:pPr>
        <w:shd w:val="clear" w:color="auto" w:fill="FFFFFF"/>
        <w:spacing w:after="150" w:line="240" w:lineRule="auto"/>
        <w:ind w:left="285"/>
        <w:jc w:val="both"/>
        <w:rPr>
          <w:rFonts w:ascii="Helvetica" w:eastAsia="Times New Roman" w:hAnsi="Helvetica" w:cs="Helvetica"/>
          <w:color w:val="555555"/>
          <w:sz w:val="21"/>
          <w:szCs w:val="21"/>
          <w:lang w:eastAsia="es-CO"/>
        </w:rPr>
      </w:pPr>
      <w:r w:rsidRPr="00F14E64">
        <w:rPr>
          <w:rFonts w:ascii="Helvetica" w:eastAsia="Times New Roman" w:hAnsi="Helvetica" w:cs="Helvetica"/>
          <w:color w:val="555555"/>
          <w:sz w:val="21"/>
          <w:szCs w:val="21"/>
          <w:lang w:eastAsia="es-CO"/>
        </w:rPr>
        <w:t> </w:t>
      </w:r>
    </w:p>
    <w:p w14:paraId="7CF4FF8D" w14:textId="77777777" w:rsidR="00F14E64" w:rsidRPr="00F14E64" w:rsidRDefault="00F14E64" w:rsidP="00F14E64">
      <w:pPr>
        <w:shd w:val="clear" w:color="auto" w:fill="FFFFFF"/>
        <w:spacing w:after="150" w:line="240" w:lineRule="auto"/>
        <w:ind w:left="285"/>
        <w:jc w:val="both"/>
        <w:rPr>
          <w:rFonts w:ascii="Helvetica" w:eastAsia="Times New Roman" w:hAnsi="Helvetica" w:cs="Helvetica"/>
          <w:color w:val="555555"/>
          <w:sz w:val="21"/>
          <w:szCs w:val="21"/>
          <w:lang w:eastAsia="es-CO"/>
        </w:rPr>
      </w:pPr>
      <w:r w:rsidRPr="00F14E64">
        <w:rPr>
          <w:rFonts w:ascii="Segoe UI" w:eastAsia="Times New Roman" w:hAnsi="Segoe UI" w:cs="Segoe UI"/>
          <w:i/>
          <w:iCs/>
          <w:color w:val="000000"/>
          <w:sz w:val="18"/>
          <w:szCs w:val="18"/>
          <w:lang w:eastAsia="es-CO"/>
        </w:rPr>
        <w:t>Tal como se expuso en el concepto objeto de inconformidad, el numeral 3 de la norma en mención fue objeto de control constitucional expuesto en la sentencia C-341 de 2007, proferida por la Corte Constitucional, dentro de la cual el tribunal constitucional advirtió que:</w:t>
      </w:r>
    </w:p>
    <w:p w14:paraId="5DFCCCAA" w14:textId="77777777" w:rsidR="00F14E64" w:rsidRPr="00F14E64" w:rsidRDefault="00F14E64" w:rsidP="00F14E64">
      <w:pPr>
        <w:shd w:val="clear" w:color="auto" w:fill="FFFFFF"/>
        <w:spacing w:after="150" w:line="240" w:lineRule="auto"/>
        <w:ind w:left="285"/>
        <w:jc w:val="both"/>
        <w:rPr>
          <w:rFonts w:ascii="Helvetica" w:eastAsia="Times New Roman" w:hAnsi="Helvetica" w:cs="Helvetica"/>
          <w:color w:val="555555"/>
          <w:sz w:val="21"/>
          <w:szCs w:val="21"/>
          <w:lang w:eastAsia="es-CO"/>
        </w:rPr>
      </w:pPr>
      <w:r w:rsidRPr="00F14E64">
        <w:rPr>
          <w:rFonts w:ascii="Helvetica" w:eastAsia="Times New Roman" w:hAnsi="Helvetica" w:cs="Helvetica"/>
          <w:color w:val="555555"/>
          <w:sz w:val="21"/>
          <w:szCs w:val="21"/>
          <w:lang w:eastAsia="es-CO"/>
        </w:rPr>
        <w:t> </w:t>
      </w:r>
    </w:p>
    <w:p w14:paraId="46448D1E" w14:textId="77777777" w:rsidR="00F14E64" w:rsidRPr="00F14E64" w:rsidRDefault="00F14E64" w:rsidP="00F14E64">
      <w:pPr>
        <w:shd w:val="clear" w:color="auto" w:fill="FFFFFF"/>
        <w:spacing w:after="150" w:line="240" w:lineRule="auto"/>
        <w:ind w:left="285"/>
        <w:jc w:val="both"/>
        <w:rPr>
          <w:rFonts w:ascii="Helvetica" w:eastAsia="Times New Roman" w:hAnsi="Helvetica" w:cs="Helvetica"/>
          <w:color w:val="555555"/>
          <w:sz w:val="21"/>
          <w:szCs w:val="21"/>
          <w:lang w:eastAsia="es-CO"/>
        </w:rPr>
      </w:pPr>
      <w:r w:rsidRPr="00F14E64">
        <w:rPr>
          <w:rFonts w:ascii="Segoe UI" w:eastAsia="Times New Roman" w:hAnsi="Segoe UI" w:cs="Segoe UI"/>
          <w:i/>
          <w:iCs/>
          <w:color w:val="000000"/>
          <w:sz w:val="18"/>
          <w:szCs w:val="18"/>
          <w:lang w:eastAsia="es-CO"/>
        </w:rPr>
        <w:lastRenderedPageBreak/>
        <w:t>“Las exclusiones del pago del IVA a las cuales aluden los numerales 3º y 8º del artículo 36 de la Ley 788 de 2002, </w:t>
      </w:r>
      <w:r w:rsidRPr="00F14E64">
        <w:rPr>
          <w:rFonts w:ascii="Segoe UI" w:eastAsia="Times New Roman" w:hAnsi="Segoe UI" w:cs="Segoe UI"/>
          <w:b/>
          <w:bCs/>
          <w:i/>
          <w:iCs/>
          <w:color w:val="000000"/>
          <w:sz w:val="18"/>
          <w:szCs w:val="18"/>
          <w:lang w:eastAsia="es-CO"/>
        </w:rPr>
        <w:t>son de carácter objetivo</w:t>
      </w:r>
      <w:r w:rsidRPr="00F14E64">
        <w:rPr>
          <w:rFonts w:ascii="Segoe UI" w:eastAsia="Times New Roman" w:hAnsi="Segoe UI" w:cs="Segoe UI"/>
          <w:i/>
          <w:iCs/>
          <w:color w:val="000000"/>
          <w:sz w:val="18"/>
          <w:szCs w:val="18"/>
          <w:lang w:eastAsia="es-CO"/>
        </w:rPr>
        <w:t>, es decir, </w:t>
      </w:r>
      <w:r w:rsidRPr="00F14E64">
        <w:rPr>
          <w:rFonts w:ascii="Segoe UI" w:eastAsia="Times New Roman" w:hAnsi="Segoe UI" w:cs="Segoe UI"/>
          <w:b/>
          <w:bCs/>
          <w:i/>
          <w:iCs/>
          <w:color w:val="000000"/>
          <w:sz w:val="18"/>
          <w:szCs w:val="18"/>
          <w:lang w:eastAsia="es-CO"/>
        </w:rPr>
        <w:t>toman en consideración la naturaleza del servicio prestado y no la persona o entidad que lo realiza</w:t>
      </w:r>
      <w:r w:rsidRPr="00F14E64">
        <w:rPr>
          <w:rFonts w:ascii="Segoe UI" w:eastAsia="Times New Roman" w:hAnsi="Segoe UI" w:cs="Segoe UI"/>
          <w:i/>
          <w:iCs/>
          <w:color w:val="000000"/>
          <w:sz w:val="18"/>
          <w:szCs w:val="18"/>
          <w:lang w:eastAsia="es-CO"/>
        </w:rPr>
        <w:t>” (Negritas fuera de texto).</w:t>
      </w:r>
    </w:p>
    <w:p w14:paraId="4EE69F4D" w14:textId="77777777" w:rsidR="00F14E64" w:rsidRPr="00F14E64" w:rsidRDefault="00F14E64" w:rsidP="00F14E64">
      <w:pPr>
        <w:shd w:val="clear" w:color="auto" w:fill="FFFFFF"/>
        <w:spacing w:after="150" w:line="240" w:lineRule="auto"/>
        <w:ind w:left="285"/>
        <w:jc w:val="both"/>
        <w:rPr>
          <w:rFonts w:ascii="Helvetica" w:eastAsia="Times New Roman" w:hAnsi="Helvetica" w:cs="Helvetica"/>
          <w:color w:val="555555"/>
          <w:sz w:val="21"/>
          <w:szCs w:val="21"/>
          <w:lang w:eastAsia="es-CO"/>
        </w:rPr>
      </w:pPr>
      <w:r w:rsidRPr="00F14E64">
        <w:rPr>
          <w:rFonts w:ascii="Helvetica" w:eastAsia="Times New Roman" w:hAnsi="Helvetica" w:cs="Helvetica"/>
          <w:color w:val="555555"/>
          <w:sz w:val="21"/>
          <w:szCs w:val="21"/>
          <w:lang w:eastAsia="es-CO"/>
        </w:rPr>
        <w:t> </w:t>
      </w:r>
    </w:p>
    <w:p w14:paraId="007A19EE" w14:textId="77777777" w:rsidR="00F14E64" w:rsidRPr="00F14E64" w:rsidRDefault="00F14E64" w:rsidP="00F14E64">
      <w:pPr>
        <w:shd w:val="clear" w:color="auto" w:fill="FFFFFF"/>
        <w:spacing w:after="150" w:line="240" w:lineRule="auto"/>
        <w:ind w:left="285"/>
        <w:jc w:val="both"/>
        <w:rPr>
          <w:rFonts w:ascii="Helvetica" w:eastAsia="Times New Roman" w:hAnsi="Helvetica" w:cs="Helvetica"/>
          <w:color w:val="555555"/>
          <w:sz w:val="21"/>
          <w:szCs w:val="21"/>
          <w:lang w:eastAsia="es-CO"/>
        </w:rPr>
      </w:pPr>
      <w:r w:rsidRPr="00F14E64">
        <w:rPr>
          <w:rFonts w:ascii="Segoe UI" w:eastAsia="Times New Roman" w:hAnsi="Segoe UI" w:cs="Segoe UI"/>
          <w:i/>
          <w:iCs/>
          <w:color w:val="000000"/>
          <w:sz w:val="18"/>
          <w:szCs w:val="18"/>
          <w:lang w:eastAsia="es-CO"/>
        </w:rPr>
        <w:t>Así las cosas</w:t>
      </w:r>
      <w:r w:rsidRPr="00F14E64">
        <w:rPr>
          <w:rFonts w:ascii="Segoe UI" w:eastAsia="Times New Roman" w:hAnsi="Segoe UI" w:cs="Segoe UI"/>
          <w:b/>
          <w:bCs/>
          <w:i/>
          <w:iCs/>
          <w:color w:val="000000"/>
          <w:sz w:val="18"/>
          <w:szCs w:val="18"/>
          <w:lang w:eastAsia="es-CO"/>
        </w:rPr>
        <w:t>, </w:t>
      </w:r>
      <w:r w:rsidRPr="00F14E64">
        <w:rPr>
          <w:rFonts w:ascii="Segoe UI" w:eastAsia="Times New Roman" w:hAnsi="Segoe UI" w:cs="Segoe UI"/>
          <w:i/>
          <w:iCs/>
          <w:color w:val="000000"/>
          <w:sz w:val="18"/>
          <w:szCs w:val="18"/>
          <w:lang w:eastAsia="es-CO"/>
        </w:rPr>
        <w:t>resulta claro que la exclusión de IVA de que tratan los numerales 2 y 3 del artículo 476 no depende de la entidad que presta el servicio, sino del criterio objetivo del servicio prestado y que este pertenezca a aquellos </w:t>
      </w:r>
      <w:r w:rsidRPr="00F14E64">
        <w:rPr>
          <w:rFonts w:ascii="Segoe UI" w:eastAsia="Times New Roman" w:hAnsi="Segoe UI" w:cs="Segoe UI"/>
          <w:b/>
          <w:bCs/>
          <w:i/>
          <w:iCs/>
          <w:color w:val="000000"/>
          <w:sz w:val="18"/>
          <w:szCs w:val="18"/>
          <w:lang w:eastAsia="es-CO"/>
        </w:rPr>
        <w:t>vinculados con la seguridad social</w:t>
      </w:r>
      <w:r w:rsidRPr="00F14E64">
        <w:rPr>
          <w:rFonts w:ascii="Segoe UI" w:eastAsia="Times New Roman" w:hAnsi="Segoe UI" w:cs="Segoe UI"/>
          <w:i/>
          <w:iCs/>
          <w:color w:val="000000"/>
          <w:sz w:val="18"/>
          <w:szCs w:val="18"/>
          <w:lang w:eastAsia="es-CO"/>
        </w:rPr>
        <w:t>, de acuerdo con Ley 100 de 1993.</w:t>
      </w:r>
    </w:p>
    <w:p w14:paraId="6741617A" w14:textId="77777777" w:rsidR="00F14E64" w:rsidRPr="00F14E64" w:rsidRDefault="00F14E64" w:rsidP="00F14E64">
      <w:pPr>
        <w:shd w:val="clear" w:color="auto" w:fill="FFFFFF"/>
        <w:spacing w:after="150" w:line="240" w:lineRule="auto"/>
        <w:ind w:left="285"/>
        <w:jc w:val="both"/>
        <w:rPr>
          <w:rFonts w:ascii="Helvetica" w:eastAsia="Times New Roman" w:hAnsi="Helvetica" w:cs="Helvetica"/>
          <w:color w:val="555555"/>
          <w:sz w:val="21"/>
          <w:szCs w:val="21"/>
          <w:lang w:eastAsia="es-CO"/>
        </w:rPr>
      </w:pPr>
      <w:r w:rsidRPr="00F14E64">
        <w:rPr>
          <w:rFonts w:ascii="Helvetica" w:eastAsia="Times New Roman" w:hAnsi="Helvetica" w:cs="Helvetica"/>
          <w:color w:val="555555"/>
          <w:sz w:val="21"/>
          <w:szCs w:val="21"/>
          <w:lang w:eastAsia="es-CO"/>
        </w:rPr>
        <w:t> </w:t>
      </w:r>
    </w:p>
    <w:p w14:paraId="524570FE" w14:textId="77777777" w:rsidR="00F14E64" w:rsidRPr="00F14E64" w:rsidRDefault="00F14E64" w:rsidP="00F14E64">
      <w:pPr>
        <w:shd w:val="clear" w:color="auto" w:fill="FFFFFF"/>
        <w:spacing w:after="150" w:line="240" w:lineRule="auto"/>
        <w:ind w:left="285"/>
        <w:jc w:val="both"/>
        <w:rPr>
          <w:rFonts w:ascii="Helvetica" w:eastAsia="Times New Roman" w:hAnsi="Helvetica" w:cs="Helvetica"/>
          <w:color w:val="555555"/>
          <w:sz w:val="21"/>
          <w:szCs w:val="21"/>
          <w:lang w:eastAsia="es-CO"/>
        </w:rPr>
      </w:pPr>
      <w:r w:rsidRPr="00F14E64">
        <w:rPr>
          <w:rFonts w:ascii="Segoe UI" w:eastAsia="Times New Roman" w:hAnsi="Segoe UI" w:cs="Segoe UI"/>
          <w:i/>
          <w:iCs/>
          <w:color w:val="000000"/>
          <w:sz w:val="18"/>
          <w:szCs w:val="18"/>
          <w:lang w:eastAsia="es-CO"/>
        </w:rPr>
        <w:t>En consecuencia, </w:t>
      </w:r>
      <w:r w:rsidRPr="00F14E64">
        <w:rPr>
          <w:rFonts w:ascii="Segoe UI" w:eastAsia="Times New Roman" w:hAnsi="Segoe UI" w:cs="Segoe UI"/>
          <w:i/>
          <w:iCs/>
          <w:color w:val="000000"/>
          <w:sz w:val="18"/>
          <w:szCs w:val="18"/>
          <w:u w:val="single"/>
          <w:lang w:eastAsia="es-CO"/>
        </w:rPr>
        <w:t>no todos los servicios prestados por las entidades administradoras del sistema de seguridad social bien sean IPS o EPS, se encuentran excluidos de IVA</w:t>
      </w:r>
      <w:r w:rsidRPr="00F14E64">
        <w:rPr>
          <w:rFonts w:ascii="Segoe UI" w:eastAsia="Times New Roman" w:hAnsi="Segoe UI" w:cs="Segoe UI"/>
          <w:i/>
          <w:iCs/>
          <w:color w:val="000000"/>
          <w:sz w:val="18"/>
          <w:szCs w:val="18"/>
          <w:lang w:eastAsia="es-CO"/>
        </w:rPr>
        <w:t>.</w:t>
      </w:r>
    </w:p>
    <w:p w14:paraId="4D0CA640" w14:textId="77777777" w:rsidR="00F14E64" w:rsidRPr="00F14E64" w:rsidRDefault="00F14E64" w:rsidP="00F14E64">
      <w:pPr>
        <w:shd w:val="clear" w:color="auto" w:fill="FFFFFF"/>
        <w:spacing w:after="150" w:line="240" w:lineRule="auto"/>
        <w:ind w:left="285"/>
        <w:jc w:val="both"/>
        <w:rPr>
          <w:rFonts w:ascii="Helvetica" w:eastAsia="Times New Roman" w:hAnsi="Helvetica" w:cs="Helvetica"/>
          <w:color w:val="555555"/>
          <w:sz w:val="21"/>
          <w:szCs w:val="21"/>
          <w:lang w:eastAsia="es-CO"/>
        </w:rPr>
      </w:pPr>
      <w:r w:rsidRPr="00F14E64">
        <w:rPr>
          <w:rFonts w:ascii="Helvetica" w:eastAsia="Times New Roman" w:hAnsi="Helvetica" w:cs="Helvetica"/>
          <w:color w:val="555555"/>
          <w:sz w:val="21"/>
          <w:szCs w:val="21"/>
          <w:lang w:eastAsia="es-CO"/>
        </w:rPr>
        <w:t> </w:t>
      </w:r>
    </w:p>
    <w:p w14:paraId="7952C741" w14:textId="77777777" w:rsidR="00F14E64" w:rsidRPr="00F14E64" w:rsidRDefault="00F14E64" w:rsidP="00F14E64">
      <w:pPr>
        <w:shd w:val="clear" w:color="auto" w:fill="FFFFFF"/>
        <w:spacing w:after="150" w:line="240" w:lineRule="auto"/>
        <w:ind w:left="285"/>
        <w:jc w:val="both"/>
        <w:rPr>
          <w:rFonts w:ascii="Helvetica" w:eastAsia="Times New Roman" w:hAnsi="Helvetica" w:cs="Helvetica"/>
          <w:color w:val="555555"/>
          <w:sz w:val="21"/>
          <w:szCs w:val="21"/>
          <w:lang w:eastAsia="es-CO"/>
        </w:rPr>
      </w:pPr>
      <w:r w:rsidRPr="00F14E64">
        <w:rPr>
          <w:rFonts w:ascii="Segoe UI" w:eastAsia="Times New Roman" w:hAnsi="Segoe UI" w:cs="Segoe UI"/>
          <w:i/>
          <w:iCs/>
          <w:color w:val="000000"/>
          <w:sz w:val="18"/>
          <w:szCs w:val="18"/>
          <w:lang w:eastAsia="es-CO"/>
        </w:rPr>
        <w:t>Por lo tanto, para determinar el carácter de excluido o no del servicio prestado por una entidad administradora del sistema de seguridad social deberá acudirse a la Ley 100 de 1993 </w:t>
      </w:r>
      <w:r w:rsidRPr="00F14E64">
        <w:rPr>
          <w:rFonts w:ascii="Segoe UI" w:eastAsia="Times New Roman" w:hAnsi="Segoe UI" w:cs="Segoe UI"/>
          <w:b/>
          <w:bCs/>
          <w:i/>
          <w:iCs/>
          <w:color w:val="000000"/>
          <w:sz w:val="18"/>
          <w:szCs w:val="18"/>
          <w:lang w:eastAsia="es-CO"/>
        </w:rPr>
        <w:t>y valorar si el mismo es uno de los vinculados con la seguridad social.</w:t>
      </w:r>
    </w:p>
    <w:p w14:paraId="77B2F8ED" w14:textId="77777777" w:rsidR="00F14E64" w:rsidRPr="00F14E64" w:rsidRDefault="00F14E64" w:rsidP="00F14E64">
      <w:pPr>
        <w:shd w:val="clear" w:color="auto" w:fill="FFFFFF"/>
        <w:spacing w:after="150" w:line="240" w:lineRule="auto"/>
        <w:ind w:left="285"/>
        <w:jc w:val="both"/>
        <w:rPr>
          <w:rFonts w:ascii="Helvetica" w:eastAsia="Times New Roman" w:hAnsi="Helvetica" w:cs="Helvetica"/>
          <w:color w:val="555555"/>
          <w:sz w:val="21"/>
          <w:szCs w:val="21"/>
          <w:lang w:eastAsia="es-CO"/>
        </w:rPr>
      </w:pPr>
      <w:r w:rsidRPr="00F14E64">
        <w:rPr>
          <w:rFonts w:ascii="Helvetica" w:eastAsia="Times New Roman" w:hAnsi="Helvetica" w:cs="Helvetica"/>
          <w:color w:val="555555"/>
          <w:sz w:val="21"/>
          <w:szCs w:val="21"/>
          <w:lang w:eastAsia="es-CO"/>
        </w:rPr>
        <w:t> </w:t>
      </w:r>
    </w:p>
    <w:p w14:paraId="2804A717" w14:textId="77777777" w:rsidR="00F14E64" w:rsidRPr="00F14E64" w:rsidRDefault="00F14E64" w:rsidP="00F14E64">
      <w:pPr>
        <w:shd w:val="clear" w:color="auto" w:fill="FFFFFF"/>
        <w:spacing w:after="150" w:line="240" w:lineRule="auto"/>
        <w:ind w:left="285"/>
        <w:jc w:val="both"/>
        <w:rPr>
          <w:rFonts w:ascii="Helvetica" w:eastAsia="Times New Roman" w:hAnsi="Helvetica" w:cs="Helvetica"/>
          <w:color w:val="555555"/>
          <w:sz w:val="21"/>
          <w:szCs w:val="21"/>
          <w:lang w:eastAsia="es-CO"/>
        </w:rPr>
      </w:pPr>
      <w:r w:rsidRPr="00F14E64">
        <w:rPr>
          <w:rFonts w:ascii="Segoe UI" w:eastAsia="Times New Roman" w:hAnsi="Segoe UI" w:cs="Segoe UI"/>
          <w:i/>
          <w:iCs/>
          <w:color w:val="000000"/>
          <w:sz w:val="18"/>
          <w:szCs w:val="18"/>
          <w:lang w:eastAsia="es-CO"/>
        </w:rPr>
        <w:t>(….).”</w:t>
      </w:r>
    </w:p>
    <w:p w14:paraId="558AF518" w14:textId="77777777" w:rsidR="00F14E64" w:rsidRPr="00F14E64" w:rsidRDefault="00F14E64" w:rsidP="00F14E64">
      <w:pPr>
        <w:shd w:val="clear" w:color="auto" w:fill="FFFFFF"/>
        <w:spacing w:after="150" w:line="240" w:lineRule="auto"/>
        <w:jc w:val="both"/>
        <w:rPr>
          <w:rFonts w:ascii="Helvetica" w:eastAsia="Times New Roman" w:hAnsi="Helvetica" w:cs="Helvetica"/>
          <w:color w:val="555555"/>
          <w:sz w:val="21"/>
          <w:szCs w:val="21"/>
          <w:lang w:eastAsia="es-CO"/>
        </w:rPr>
      </w:pPr>
      <w:r w:rsidRPr="00F14E64">
        <w:rPr>
          <w:rFonts w:ascii="Helvetica" w:eastAsia="Times New Roman" w:hAnsi="Helvetica" w:cs="Helvetica"/>
          <w:color w:val="555555"/>
          <w:sz w:val="21"/>
          <w:szCs w:val="21"/>
          <w:lang w:eastAsia="es-CO"/>
        </w:rPr>
        <w:t> </w:t>
      </w:r>
    </w:p>
    <w:p w14:paraId="4EE98E75" w14:textId="77777777" w:rsidR="00F14E64" w:rsidRPr="00F14E64" w:rsidRDefault="00F14E64" w:rsidP="00F14E64">
      <w:pPr>
        <w:shd w:val="clear" w:color="auto" w:fill="FFFFFF"/>
        <w:spacing w:after="150" w:line="240" w:lineRule="auto"/>
        <w:jc w:val="both"/>
        <w:rPr>
          <w:rFonts w:ascii="Helvetica" w:eastAsia="Times New Roman" w:hAnsi="Helvetica" w:cs="Helvetica"/>
          <w:color w:val="555555"/>
          <w:sz w:val="21"/>
          <w:szCs w:val="21"/>
          <w:lang w:eastAsia="es-CO"/>
        </w:rPr>
      </w:pPr>
      <w:r w:rsidRPr="00F14E64">
        <w:rPr>
          <w:rFonts w:ascii="Segoe UI" w:eastAsia="Times New Roman" w:hAnsi="Segoe UI" w:cs="Segoe UI"/>
          <w:color w:val="000000"/>
          <w:sz w:val="18"/>
          <w:szCs w:val="18"/>
          <w:lang w:eastAsia="es-CO"/>
        </w:rPr>
        <w:t>Así mismo, señaló en relación con el artículo 4 de la Ley 100 de 1993 que:</w:t>
      </w:r>
    </w:p>
    <w:p w14:paraId="710AF831" w14:textId="77777777" w:rsidR="00F14E64" w:rsidRPr="00F14E64" w:rsidRDefault="00F14E64" w:rsidP="00F14E64">
      <w:pPr>
        <w:shd w:val="clear" w:color="auto" w:fill="FFFFFF"/>
        <w:spacing w:after="150" w:line="240" w:lineRule="auto"/>
        <w:jc w:val="both"/>
        <w:rPr>
          <w:rFonts w:ascii="Helvetica" w:eastAsia="Times New Roman" w:hAnsi="Helvetica" w:cs="Helvetica"/>
          <w:color w:val="555555"/>
          <w:sz w:val="21"/>
          <w:szCs w:val="21"/>
          <w:lang w:eastAsia="es-CO"/>
        </w:rPr>
      </w:pPr>
      <w:r w:rsidRPr="00F14E64">
        <w:rPr>
          <w:rFonts w:ascii="Helvetica" w:eastAsia="Times New Roman" w:hAnsi="Helvetica" w:cs="Helvetica"/>
          <w:color w:val="555555"/>
          <w:sz w:val="21"/>
          <w:szCs w:val="21"/>
          <w:lang w:eastAsia="es-CO"/>
        </w:rPr>
        <w:t> </w:t>
      </w:r>
    </w:p>
    <w:p w14:paraId="4CE059E6" w14:textId="77777777" w:rsidR="00F14E64" w:rsidRPr="00F14E64" w:rsidRDefault="00F14E64" w:rsidP="00F14E64">
      <w:pPr>
        <w:shd w:val="clear" w:color="auto" w:fill="FFFFFF"/>
        <w:spacing w:after="150" w:line="240" w:lineRule="auto"/>
        <w:ind w:left="285"/>
        <w:jc w:val="both"/>
        <w:rPr>
          <w:rFonts w:ascii="Helvetica" w:eastAsia="Times New Roman" w:hAnsi="Helvetica" w:cs="Helvetica"/>
          <w:color w:val="555555"/>
          <w:sz w:val="21"/>
          <w:szCs w:val="21"/>
          <w:lang w:eastAsia="es-CO"/>
        </w:rPr>
      </w:pPr>
      <w:r w:rsidRPr="00F14E64">
        <w:rPr>
          <w:rFonts w:ascii="Segoe UI" w:eastAsia="Times New Roman" w:hAnsi="Segoe UI" w:cs="Segoe UI"/>
          <w:i/>
          <w:iCs/>
          <w:color w:val="000000"/>
          <w:sz w:val="18"/>
          <w:szCs w:val="18"/>
          <w:lang w:eastAsia="es-CO"/>
        </w:rPr>
        <w:t>“Sin embargo, (el) precitado compendio normativo no especificó los servicios vinculados con la seguridad social, por lo que el artículo 1 del Decreto 841 de 1998 -compilado en el artículo 1.3.1.13.13 del Decreto 1625 de 2016- se encargó de enlistar los “</w:t>
      </w:r>
      <w:r w:rsidRPr="00F14E64">
        <w:rPr>
          <w:rFonts w:ascii="Segoe UI" w:eastAsia="Times New Roman" w:hAnsi="Segoe UI" w:cs="Segoe UI"/>
          <w:b/>
          <w:bCs/>
          <w:i/>
          <w:iCs/>
          <w:color w:val="000000"/>
          <w:sz w:val="18"/>
          <w:szCs w:val="18"/>
          <w:u w:val="single"/>
          <w:lang w:eastAsia="es-CO"/>
        </w:rPr>
        <w:t>Servicios vinculados con la seguridad social exceptuados del impuesto sobre las ventas</w:t>
      </w:r>
      <w:r w:rsidRPr="00F14E64">
        <w:rPr>
          <w:rFonts w:ascii="Segoe UI" w:eastAsia="Times New Roman" w:hAnsi="Segoe UI" w:cs="Segoe UI"/>
          <w:i/>
          <w:iCs/>
          <w:color w:val="000000"/>
          <w:sz w:val="18"/>
          <w:szCs w:val="18"/>
          <w:lang w:eastAsia="es-CO"/>
        </w:rPr>
        <w:t>”</w:t>
      </w:r>
      <w:r w:rsidRPr="00F14E64">
        <w:rPr>
          <w:rFonts w:ascii="Segoe UI" w:eastAsia="Times New Roman" w:hAnsi="Segoe UI" w:cs="Segoe UI"/>
          <w:color w:val="000000"/>
          <w:sz w:val="18"/>
          <w:szCs w:val="18"/>
          <w:lang w:eastAsia="es-CO"/>
        </w:rPr>
        <w:t>.</w:t>
      </w:r>
    </w:p>
    <w:p w14:paraId="55E5AE2F" w14:textId="77777777" w:rsidR="00F14E64" w:rsidRPr="00F14E64" w:rsidRDefault="00F14E64" w:rsidP="00F14E64">
      <w:pPr>
        <w:shd w:val="clear" w:color="auto" w:fill="FFFFFF"/>
        <w:spacing w:after="150" w:line="240" w:lineRule="auto"/>
        <w:jc w:val="both"/>
        <w:rPr>
          <w:rFonts w:ascii="Helvetica" w:eastAsia="Times New Roman" w:hAnsi="Helvetica" w:cs="Helvetica"/>
          <w:color w:val="555555"/>
          <w:sz w:val="21"/>
          <w:szCs w:val="21"/>
          <w:lang w:eastAsia="es-CO"/>
        </w:rPr>
      </w:pPr>
      <w:r w:rsidRPr="00F14E64">
        <w:rPr>
          <w:rFonts w:ascii="Helvetica" w:eastAsia="Times New Roman" w:hAnsi="Helvetica" w:cs="Helvetica"/>
          <w:color w:val="555555"/>
          <w:sz w:val="21"/>
          <w:szCs w:val="21"/>
          <w:lang w:eastAsia="es-CO"/>
        </w:rPr>
        <w:t> </w:t>
      </w:r>
    </w:p>
    <w:p w14:paraId="675834E9" w14:textId="77777777" w:rsidR="00F14E64" w:rsidRPr="00F14E64" w:rsidRDefault="00F14E64" w:rsidP="00F14E64">
      <w:pPr>
        <w:shd w:val="clear" w:color="auto" w:fill="FFFFFF"/>
        <w:spacing w:after="150" w:line="240" w:lineRule="auto"/>
        <w:jc w:val="both"/>
        <w:rPr>
          <w:rFonts w:ascii="Helvetica" w:eastAsia="Times New Roman" w:hAnsi="Helvetica" w:cs="Helvetica"/>
          <w:color w:val="555555"/>
          <w:sz w:val="21"/>
          <w:szCs w:val="21"/>
          <w:lang w:eastAsia="es-CO"/>
        </w:rPr>
      </w:pPr>
      <w:r w:rsidRPr="00F14E64">
        <w:rPr>
          <w:rFonts w:ascii="Segoe UI" w:eastAsia="Times New Roman" w:hAnsi="Segoe UI" w:cs="Segoe UI"/>
          <w:color w:val="000000"/>
          <w:sz w:val="18"/>
          <w:szCs w:val="18"/>
          <w:lang w:eastAsia="es-CO"/>
        </w:rPr>
        <w:t>Luego, previa cita del artículo 1.3.1.13.13 del Decreto Único Reglamentario 1625 de 2016, en toda su extensión, indicó:</w:t>
      </w:r>
    </w:p>
    <w:p w14:paraId="3DF2C7CE" w14:textId="77777777" w:rsidR="00F14E64" w:rsidRPr="00F14E64" w:rsidRDefault="00F14E64" w:rsidP="00F14E64">
      <w:pPr>
        <w:shd w:val="clear" w:color="auto" w:fill="FFFFFF"/>
        <w:spacing w:after="150" w:line="240" w:lineRule="auto"/>
        <w:jc w:val="both"/>
        <w:rPr>
          <w:rFonts w:ascii="Helvetica" w:eastAsia="Times New Roman" w:hAnsi="Helvetica" w:cs="Helvetica"/>
          <w:color w:val="555555"/>
          <w:sz w:val="21"/>
          <w:szCs w:val="21"/>
          <w:lang w:eastAsia="es-CO"/>
        </w:rPr>
      </w:pPr>
      <w:r w:rsidRPr="00F14E64">
        <w:rPr>
          <w:rFonts w:ascii="Helvetica" w:eastAsia="Times New Roman" w:hAnsi="Helvetica" w:cs="Helvetica"/>
          <w:color w:val="555555"/>
          <w:sz w:val="21"/>
          <w:szCs w:val="21"/>
          <w:lang w:eastAsia="es-CO"/>
        </w:rPr>
        <w:t> </w:t>
      </w:r>
    </w:p>
    <w:p w14:paraId="25E7F8AA" w14:textId="77777777" w:rsidR="00F14E64" w:rsidRPr="00F14E64" w:rsidRDefault="00F14E64" w:rsidP="00F14E64">
      <w:pPr>
        <w:shd w:val="clear" w:color="auto" w:fill="FFFFFF"/>
        <w:spacing w:after="150" w:line="240" w:lineRule="auto"/>
        <w:ind w:left="285"/>
        <w:jc w:val="both"/>
        <w:rPr>
          <w:rFonts w:ascii="Helvetica" w:eastAsia="Times New Roman" w:hAnsi="Helvetica" w:cs="Helvetica"/>
          <w:color w:val="555555"/>
          <w:sz w:val="21"/>
          <w:szCs w:val="21"/>
          <w:lang w:eastAsia="es-CO"/>
        </w:rPr>
      </w:pPr>
      <w:r w:rsidRPr="00F14E64">
        <w:rPr>
          <w:rFonts w:ascii="Segoe UI" w:eastAsia="Times New Roman" w:hAnsi="Segoe UI" w:cs="Segoe UI"/>
          <w:b/>
          <w:bCs/>
          <w:i/>
          <w:iCs/>
          <w:color w:val="000000"/>
          <w:sz w:val="18"/>
          <w:szCs w:val="18"/>
          <w:lang w:eastAsia="es-CO"/>
        </w:rPr>
        <w:t>“</w:t>
      </w:r>
      <w:r w:rsidRPr="00F14E64">
        <w:rPr>
          <w:rFonts w:ascii="Segoe UI" w:eastAsia="Times New Roman" w:hAnsi="Segoe UI" w:cs="Segoe UI"/>
          <w:i/>
          <w:iCs/>
          <w:color w:val="000000"/>
          <w:sz w:val="18"/>
          <w:szCs w:val="18"/>
          <w:lang w:eastAsia="es-CO"/>
        </w:rPr>
        <w:t xml:space="preserve">Por consiguiente, los servicios descritos en la norma anterior son los que deben ser considerados como excluidos </w:t>
      </w:r>
      <w:proofErr w:type="gramStart"/>
      <w:r w:rsidRPr="00F14E64">
        <w:rPr>
          <w:rFonts w:ascii="Segoe UI" w:eastAsia="Times New Roman" w:hAnsi="Segoe UI" w:cs="Segoe UI"/>
          <w:i/>
          <w:iCs/>
          <w:color w:val="000000"/>
          <w:sz w:val="18"/>
          <w:szCs w:val="18"/>
          <w:lang w:eastAsia="es-CO"/>
        </w:rPr>
        <w:t>en virtud a</w:t>
      </w:r>
      <w:proofErr w:type="gramEnd"/>
      <w:r w:rsidRPr="00F14E64">
        <w:rPr>
          <w:rFonts w:ascii="Segoe UI" w:eastAsia="Times New Roman" w:hAnsi="Segoe UI" w:cs="Segoe UI"/>
          <w:i/>
          <w:iCs/>
          <w:color w:val="000000"/>
          <w:sz w:val="18"/>
          <w:szCs w:val="18"/>
          <w:lang w:eastAsia="es-CO"/>
        </w:rPr>
        <w:t xml:space="preserve"> los numerales 3 y 8, hoy entiéndase 2 y 3 del artículo 476 del Estatuto Tributario; </w:t>
      </w:r>
      <w:r w:rsidRPr="00F14E64">
        <w:rPr>
          <w:rFonts w:ascii="Segoe UI" w:eastAsia="Times New Roman" w:hAnsi="Segoe UI" w:cs="Segoe UI"/>
          <w:i/>
          <w:iCs/>
          <w:color w:val="000000"/>
          <w:sz w:val="18"/>
          <w:szCs w:val="18"/>
          <w:u w:val="single"/>
          <w:lang w:eastAsia="es-CO"/>
        </w:rPr>
        <w:t>sin importar que entidad los presta</w:t>
      </w:r>
      <w:r w:rsidRPr="00F14E64">
        <w:rPr>
          <w:rFonts w:ascii="Segoe UI" w:eastAsia="Times New Roman" w:hAnsi="Segoe UI" w:cs="Segoe UI"/>
          <w:b/>
          <w:bCs/>
          <w:i/>
          <w:iCs/>
          <w:color w:val="000000"/>
          <w:sz w:val="18"/>
          <w:szCs w:val="18"/>
          <w:lang w:eastAsia="es-CO"/>
        </w:rPr>
        <w:t>.</w:t>
      </w:r>
    </w:p>
    <w:p w14:paraId="4F3B4888" w14:textId="77777777" w:rsidR="00F14E64" w:rsidRPr="00F14E64" w:rsidRDefault="00F14E64" w:rsidP="00F14E64">
      <w:pPr>
        <w:shd w:val="clear" w:color="auto" w:fill="FFFFFF"/>
        <w:spacing w:after="150" w:line="240" w:lineRule="auto"/>
        <w:ind w:left="285"/>
        <w:jc w:val="both"/>
        <w:rPr>
          <w:rFonts w:ascii="Helvetica" w:eastAsia="Times New Roman" w:hAnsi="Helvetica" w:cs="Helvetica"/>
          <w:color w:val="555555"/>
          <w:sz w:val="21"/>
          <w:szCs w:val="21"/>
          <w:lang w:eastAsia="es-CO"/>
        </w:rPr>
      </w:pPr>
      <w:r w:rsidRPr="00F14E64">
        <w:rPr>
          <w:rFonts w:ascii="Helvetica" w:eastAsia="Times New Roman" w:hAnsi="Helvetica" w:cs="Helvetica"/>
          <w:color w:val="555555"/>
          <w:sz w:val="21"/>
          <w:szCs w:val="21"/>
          <w:lang w:eastAsia="es-CO"/>
        </w:rPr>
        <w:t> </w:t>
      </w:r>
    </w:p>
    <w:p w14:paraId="305A5AC8" w14:textId="77777777" w:rsidR="00F14E64" w:rsidRPr="00F14E64" w:rsidRDefault="00F14E64" w:rsidP="00F14E64">
      <w:pPr>
        <w:shd w:val="clear" w:color="auto" w:fill="FFFFFF"/>
        <w:spacing w:after="150" w:line="240" w:lineRule="auto"/>
        <w:ind w:left="285"/>
        <w:jc w:val="both"/>
        <w:rPr>
          <w:rFonts w:ascii="Helvetica" w:eastAsia="Times New Roman" w:hAnsi="Helvetica" w:cs="Helvetica"/>
          <w:color w:val="555555"/>
          <w:sz w:val="21"/>
          <w:szCs w:val="21"/>
          <w:lang w:eastAsia="es-CO"/>
        </w:rPr>
      </w:pPr>
      <w:r w:rsidRPr="00F14E64">
        <w:rPr>
          <w:rFonts w:ascii="Segoe UI" w:eastAsia="Times New Roman" w:hAnsi="Segoe UI" w:cs="Segoe UI"/>
          <w:i/>
          <w:iCs/>
          <w:color w:val="000000"/>
          <w:sz w:val="18"/>
          <w:szCs w:val="18"/>
          <w:lang w:eastAsia="es-CO"/>
        </w:rPr>
        <w:t>De manera que, deberá cada entidad que preste servicios relacionados con la seguridad social, evaluar conforme la normatividad descrita los servicios que en cada caso específico son objeto de exclusión en cuestión.</w:t>
      </w:r>
    </w:p>
    <w:p w14:paraId="1559682D" w14:textId="77777777" w:rsidR="00F14E64" w:rsidRPr="00F14E64" w:rsidRDefault="00F14E64" w:rsidP="00F14E64">
      <w:pPr>
        <w:shd w:val="clear" w:color="auto" w:fill="FFFFFF"/>
        <w:spacing w:after="150" w:line="240" w:lineRule="auto"/>
        <w:ind w:left="285"/>
        <w:jc w:val="both"/>
        <w:rPr>
          <w:rFonts w:ascii="Helvetica" w:eastAsia="Times New Roman" w:hAnsi="Helvetica" w:cs="Helvetica"/>
          <w:color w:val="555555"/>
          <w:sz w:val="21"/>
          <w:szCs w:val="21"/>
          <w:lang w:eastAsia="es-CO"/>
        </w:rPr>
      </w:pPr>
      <w:r w:rsidRPr="00F14E64">
        <w:rPr>
          <w:rFonts w:ascii="Helvetica" w:eastAsia="Times New Roman" w:hAnsi="Helvetica" w:cs="Helvetica"/>
          <w:color w:val="555555"/>
          <w:sz w:val="21"/>
          <w:szCs w:val="21"/>
          <w:lang w:eastAsia="es-CO"/>
        </w:rPr>
        <w:t> </w:t>
      </w:r>
    </w:p>
    <w:p w14:paraId="21FE3EB2" w14:textId="77777777" w:rsidR="00F14E64" w:rsidRPr="00F14E64" w:rsidRDefault="00F14E64" w:rsidP="00F14E64">
      <w:pPr>
        <w:shd w:val="clear" w:color="auto" w:fill="FFFFFF"/>
        <w:spacing w:after="150" w:line="240" w:lineRule="auto"/>
        <w:ind w:left="285"/>
        <w:jc w:val="both"/>
        <w:rPr>
          <w:rFonts w:ascii="Helvetica" w:eastAsia="Times New Roman" w:hAnsi="Helvetica" w:cs="Helvetica"/>
          <w:color w:val="555555"/>
          <w:sz w:val="21"/>
          <w:szCs w:val="21"/>
          <w:lang w:eastAsia="es-CO"/>
        </w:rPr>
      </w:pPr>
      <w:r w:rsidRPr="00F14E64">
        <w:rPr>
          <w:rFonts w:ascii="Segoe UI" w:eastAsia="Times New Roman" w:hAnsi="Segoe UI" w:cs="Segoe UI"/>
          <w:i/>
          <w:iCs/>
          <w:color w:val="000000"/>
          <w:sz w:val="18"/>
          <w:szCs w:val="18"/>
          <w:lang w:eastAsia="es-CO"/>
        </w:rPr>
        <w:t xml:space="preserve">De otro lado, vale la pena destacar que </w:t>
      </w:r>
      <w:proofErr w:type="gramStart"/>
      <w:r w:rsidRPr="00F14E64">
        <w:rPr>
          <w:rFonts w:ascii="Segoe UI" w:eastAsia="Times New Roman" w:hAnsi="Segoe UI" w:cs="Segoe UI"/>
          <w:i/>
          <w:iCs/>
          <w:color w:val="000000"/>
          <w:sz w:val="18"/>
          <w:szCs w:val="18"/>
          <w:lang w:eastAsia="es-CO"/>
        </w:rPr>
        <w:t>de acuerdo a</w:t>
      </w:r>
      <w:proofErr w:type="gramEnd"/>
      <w:r w:rsidRPr="00F14E64">
        <w:rPr>
          <w:rFonts w:ascii="Segoe UI" w:eastAsia="Times New Roman" w:hAnsi="Segoe UI" w:cs="Segoe UI"/>
          <w:i/>
          <w:iCs/>
          <w:color w:val="000000"/>
          <w:sz w:val="18"/>
          <w:szCs w:val="18"/>
          <w:lang w:eastAsia="es-CO"/>
        </w:rPr>
        <w:t xml:space="preserve"> lo expresado en la jurisprudencia de la Corte Constitucional (Sentencias C-1040 de 2008, C - 824 de 2004 entre otras) </w:t>
      </w:r>
      <w:r w:rsidRPr="00F14E64">
        <w:rPr>
          <w:rFonts w:ascii="Segoe UI" w:eastAsia="Times New Roman" w:hAnsi="Segoe UI" w:cs="Segoe UI"/>
          <w:b/>
          <w:bCs/>
          <w:i/>
          <w:iCs/>
          <w:color w:val="000000"/>
          <w:sz w:val="18"/>
          <w:szCs w:val="18"/>
          <w:u w:val="single"/>
          <w:lang w:eastAsia="es-CO"/>
        </w:rPr>
        <w:t>la exoneración tributaria en favor de las unidades de pago por capitación (UPC) implica que los servicios que contraten las entidades administradoras del sistema de seguridad social en salud cuando tengan por objeto directo efectuar las prestaciones propias del Plan Obligatorio de Salud -POS- están excluidos del IVA</w:t>
      </w:r>
      <w:r w:rsidRPr="00F14E64">
        <w:rPr>
          <w:rFonts w:ascii="Segoe UI" w:eastAsia="Times New Roman" w:hAnsi="Segoe UI" w:cs="Segoe UI"/>
          <w:i/>
          <w:iCs/>
          <w:color w:val="000000"/>
          <w:sz w:val="18"/>
          <w:szCs w:val="18"/>
          <w:lang w:eastAsia="es-CO"/>
        </w:rPr>
        <w:t>.</w:t>
      </w:r>
    </w:p>
    <w:p w14:paraId="31B7FCEB" w14:textId="77777777" w:rsidR="00F14E64" w:rsidRPr="00F14E64" w:rsidRDefault="00F14E64" w:rsidP="00F14E64">
      <w:pPr>
        <w:shd w:val="clear" w:color="auto" w:fill="FFFFFF"/>
        <w:spacing w:after="150" w:line="240" w:lineRule="auto"/>
        <w:ind w:left="285"/>
        <w:jc w:val="both"/>
        <w:rPr>
          <w:rFonts w:ascii="Helvetica" w:eastAsia="Times New Roman" w:hAnsi="Helvetica" w:cs="Helvetica"/>
          <w:color w:val="555555"/>
          <w:sz w:val="21"/>
          <w:szCs w:val="21"/>
          <w:lang w:eastAsia="es-CO"/>
        </w:rPr>
      </w:pPr>
      <w:r w:rsidRPr="00F14E64">
        <w:rPr>
          <w:rFonts w:ascii="Helvetica" w:eastAsia="Times New Roman" w:hAnsi="Helvetica" w:cs="Helvetica"/>
          <w:color w:val="555555"/>
          <w:sz w:val="21"/>
          <w:szCs w:val="21"/>
          <w:lang w:eastAsia="es-CO"/>
        </w:rPr>
        <w:t> </w:t>
      </w:r>
    </w:p>
    <w:p w14:paraId="7A6E9D6F" w14:textId="77777777" w:rsidR="00F14E64" w:rsidRPr="00F14E64" w:rsidRDefault="00F14E64" w:rsidP="00F14E64">
      <w:pPr>
        <w:shd w:val="clear" w:color="auto" w:fill="FFFFFF"/>
        <w:spacing w:after="150" w:line="240" w:lineRule="auto"/>
        <w:ind w:left="285"/>
        <w:jc w:val="both"/>
        <w:rPr>
          <w:rFonts w:ascii="Helvetica" w:eastAsia="Times New Roman" w:hAnsi="Helvetica" w:cs="Helvetica"/>
          <w:color w:val="555555"/>
          <w:sz w:val="21"/>
          <w:szCs w:val="21"/>
          <w:lang w:eastAsia="es-CO"/>
        </w:rPr>
      </w:pPr>
      <w:r w:rsidRPr="00F14E64">
        <w:rPr>
          <w:rFonts w:ascii="Segoe UI" w:eastAsia="Times New Roman" w:hAnsi="Segoe UI" w:cs="Segoe UI"/>
          <w:i/>
          <w:iCs/>
          <w:color w:val="000000"/>
          <w:sz w:val="18"/>
          <w:szCs w:val="18"/>
          <w:lang w:eastAsia="es-CO"/>
        </w:rPr>
        <w:t>(....).” </w:t>
      </w:r>
      <w:r w:rsidRPr="00F14E64">
        <w:rPr>
          <w:rFonts w:ascii="Segoe UI" w:eastAsia="Times New Roman" w:hAnsi="Segoe UI" w:cs="Segoe UI"/>
          <w:color w:val="000000"/>
          <w:sz w:val="18"/>
          <w:szCs w:val="18"/>
          <w:lang w:eastAsia="es-CO"/>
        </w:rPr>
        <w:t>(Subrayado y resaltado fuera de texto).</w:t>
      </w:r>
    </w:p>
    <w:p w14:paraId="009A91E8" w14:textId="77777777" w:rsidR="00F14E64" w:rsidRPr="00F14E64" w:rsidRDefault="00F14E64" w:rsidP="00F14E64">
      <w:pPr>
        <w:shd w:val="clear" w:color="auto" w:fill="FFFFFF"/>
        <w:spacing w:after="150" w:line="240" w:lineRule="auto"/>
        <w:jc w:val="both"/>
        <w:rPr>
          <w:rFonts w:ascii="Helvetica" w:eastAsia="Times New Roman" w:hAnsi="Helvetica" w:cs="Helvetica"/>
          <w:color w:val="555555"/>
          <w:sz w:val="21"/>
          <w:szCs w:val="21"/>
          <w:lang w:eastAsia="es-CO"/>
        </w:rPr>
      </w:pPr>
      <w:r w:rsidRPr="00F14E64">
        <w:rPr>
          <w:rFonts w:ascii="Helvetica" w:eastAsia="Times New Roman" w:hAnsi="Helvetica" w:cs="Helvetica"/>
          <w:color w:val="555555"/>
          <w:sz w:val="21"/>
          <w:szCs w:val="21"/>
          <w:lang w:eastAsia="es-CO"/>
        </w:rPr>
        <w:t> </w:t>
      </w:r>
    </w:p>
    <w:p w14:paraId="44DC1805" w14:textId="77777777" w:rsidR="00F14E64" w:rsidRPr="00F14E64" w:rsidRDefault="00F14E64" w:rsidP="00F14E64">
      <w:pPr>
        <w:shd w:val="clear" w:color="auto" w:fill="FFFFFF"/>
        <w:spacing w:after="150" w:line="240" w:lineRule="auto"/>
        <w:jc w:val="both"/>
        <w:rPr>
          <w:rFonts w:ascii="Helvetica" w:eastAsia="Times New Roman" w:hAnsi="Helvetica" w:cs="Helvetica"/>
          <w:color w:val="555555"/>
          <w:sz w:val="21"/>
          <w:szCs w:val="21"/>
          <w:lang w:eastAsia="es-CO"/>
        </w:rPr>
      </w:pPr>
      <w:r w:rsidRPr="00F14E64">
        <w:rPr>
          <w:rFonts w:ascii="Segoe UI" w:eastAsia="Times New Roman" w:hAnsi="Segoe UI" w:cs="Segoe UI"/>
          <w:color w:val="000000"/>
          <w:sz w:val="18"/>
          <w:szCs w:val="18"/>
          <w:lang w:eastAsia="es-CO"/>
        </w:rPr>
        <w:t>Así, el Oficio 000345 de 2020 confirmó el oficio No. 900758 de 2019, concluyendo que: </w:t>
      </w:r>
      <w:r w:rsidRPr="00F14E64">
        <w:rPr>
          <w:rFonts w:ascii="Segoe UI" w:eastAsia="Times New Roman" w:hAnsi="Segoe UI" w:cs="Segoe UI"/>
          <w:i/>
          <w:iCs/>
          <w:color w:val="000000"/>
          <w:sz w:val="18"/>
          <w:szCs w:val="18"/>
          <w:lang w:eastAsia="es-CO"/>
        </w:rPr>
        <w:t>“ (…) el mismo continúa con la línea de interpretación normativa doctrinal que ha forjado este Despacho frente a que las exclusiones estipuladas en los numerales 2 y 3 del artículo 476 del Estatuto Tributario son de carácter objetivo, independientemente del sujeto que presta el servicio e inherentes a la calidad del servicio prestado, el cual debe estar única y directamente relacionado con las prestaciones del POS”.</w:t>
      </w:r>
    </w:p>
    <w:p w14:paraId="4A924E22" w14:textId="77777777" w:rsidR="00F14E64" w:rsidRPr="00F14E64" w:rsidRDefault="00F14E64" w:rsidP="00F14E64">
      <w:pPr>
        <w:shd w:val="clear" w:color="auto" w:fill="FFFFFF"/>
        <w:spacing w:after="150" w:line="240" w:lineRule="auto"/>
        <w:jc w:val="both"/>
        <w:rPr>
          <w:rFonts w:ascii="Helvetica" w:eastAsia="Times New Roman" w:hAnsi="Helvetica" w:cs="Helvetica"/>
          <w:color w:val="555555"/>
          <w:sz w:val="21"/>
          <w:szCs w:val="21"/>
          <w:lang w:eastAsia="es-CO"/>
        </w:rPr>
      </w:pPr>
      <w:r w:rsidRPr="00F14E64">
        <w:rPr>
          <w:rFonts w:ascii="Helvetica" w:eastAsia="Times New Roman" w:hAnsi="Helvetica" w:cs="Helvetica"/>
          <w:color w:val="555555"/>
          <w:sz w:val="21"/>
          <w:szCs w:val="21"/>
          <w:lang w:eastAsia="es-CO"/>
        </w:rPr>
        <w:t> </w:t>
      </w:r>
    </w:p>
    <w:p w14:paraId="69CC5D3E" w14:textId="77777777" w:rsidR="00F14E64" w:rsidRPr="00F14E64" w:rsidRDefault="00F14E64" w:rsidP="00F14E64">
      <w:pPr>
        <w:shd w:val="clear" w:color="auto" w:fill="FFFFFF"/>
        <w:spacing w:after="150" w:line="240" w:lineRule="auto"/>
        <w:jc w:val="both"/>
        <w:rPr>
          <w:rFonts w:ascii="Helvetica" w:eastAsia="Times New Roman" w:hAnsi="Helvetica" w:cs="Helvetica"/>
          <w:color w:val="555555"/>
          <w:sz w:val="21"/>
          <w:szCs w:val="21"/>
          <w:lang w:eastAsia="es-CO"/>
        </w:rPr>
      </w:pPr>
      <w:r w:rsidRPr="00F14E64">
        <w:rPr>
          <w:rFonts w:ascii="Segoe UI" w:eastAsia="Times New Roman" w:hAnsi="Segoe UI" w:cs="Segoe UI"/>
          <w:color w:val="000000"/>
          <w:sz w:val="18"/>
          <w:szCs w:val="18"/>
          <w:lang w:eastAsia="es-CO"/>
        </w:rPr>
        <w:t>Por todo lo anterior, considera este Despacho que el Oficio 000345 de 2020 responde la inquietud que se plantea en esta oportunidad y, en todo caso, para mayor ilustración y claridad sobre el tema, se anexa junto con el Oficio 900758 de 2019.</w:t>
      </w:r>
    </w:p>
    <w:p w14:paraId="60220D21" w14:textId="77777777" w:rsidR="00F14E64" w:rsidRPr="00F14E64" w:rsidRDefault="00F14E64" w:rsidP="00F14E64">
      <w:pPr>
        <w:shd w:val="clear" w:color="auto" w:fill="FFFFFF"/>
        <w:spacing w:after="150" w:line="240" w:lineRule="auto"/>
        <w:jc w:val="both"/>
        <w:rPr>
          <w:rFonts w:ascii="Helvetica" w:eastAsia="Times New Roman" w:hAnsi="Helvetica" w:cs="Helvetica"/>
          <w:color w:val="555555"/>
          <w:sz w:val="21"/>
          <w:szCs w:val="21"/>
          <w:lang w:eastAsia="es-CO"/>
        </w:rPr>
      </w:pPr>
      <w:r w:rsidRPr="00F14E64">
        <w:rPr>
          <w:rFonts w:ascii="Helvetica" w:eastAsia="Times New Roman" w:hAnsi="Helvetica" w:cs="Helvetica"/>
          <w:color w:val="555555"/>
          <w:sz w:val="21"/>
          <w:szCs w:val="21"/>
          <w:lang w:eastAsia="es-CO"/>
        </w:rPr>
        <w:t> </w:t>
      </w:r>
    </w:p>
    <w:p w14:paraId="6AB7F588" w14:textId="77777777" w:rsidR="00F14E64" w:rsidRPr="00F14E64" w:rsidRDefault="00F14E64" w:rsidP="00F14E64">
      <w:pPr>
        <w:shd w:val="clear" w:color="auto" w:fill="FFFFFF"/>
        <w:spacing w:after="150" w:line="240" w:lineRule="auto"/>
        <w:jc w:val="both"/>
        <w:rPr>
          <w:rFonts w:ascii="Helvetica" w:eastAsia="Times New Roman" w:hAnsi="Helvetica" w:cs="Helvetica"/>
          <w:color w:val="555555"/>
          <w:sz w:val="21"/>
          <w:szCs w:val="21"/>
          <w:lang w:eastAsia="es-CO"/>
        </w:rPr>
      </w:pPr>
      <w:r w:rsidRPr="00F14E64">
        <w:rPr>
          <w:rFonts w:ascii="Helvetica" w:eastAsia="Times New Roman" w:hAnsi="Helvetica" w:cs="Helvetica"/>
          <w:color w:val="555555"/>
          <w:sz w:val="21"/>
          <w:szCs w:val="21"/>
          <w:lang w:eastAsia="es-CO"/>
        </w:rPr>
        <w:t> </w:t>
      </w:r>
    </w:p>
    <w:p w14:paraId="2E535C64" w14:textId="77777777" w:rsidR="00F14E64" w:rsidRPr="00F14E64" w:rsidRDefault="00F14E64" w:rsidP="00F14E64">
      <w:pPr>
        <w:shd w:val="clear" w:color="auto" w:fill="FFFFFF"/>
        <w:spacing w:after="150" w:line="240" w:lineRule="auto"/>
        <w:jc w:val="both"/>
        <w:rPr>
          <w:rFonts w:ascii="Helvetica" w:eastAsia="Times New Roman" w:hAnsi="Helvetica" w:cs="Helvetica"/>
          <w:color w:val="555555"/>
          <w:sz w:val="21"/>
          <w:szCs w:val="21"/>
          <w:lang w:eastAsia="es-CO"/>
        </w:rPr>
      </w:pPr>
      <w:r w:rsidRPr="00F14E64">
        <w:rPr>
          <w:rFonts w:ascii="Segoe UI" w:eastAsia="Times New Roman" w:hAnsi="Segoe UI" w:cs="Segoe UI"/>
          <w:color w:val="000000"/>
          <w:sz w:val="18"/>
          <w:szCs w:val="18"/>
          <w:lang w:eastAsia="es-CO"/>
        </w:rPr>
        <w:lastRenderedPageBreak/>
        <w:t>Atentamente,</w:t>
      </w:r>
    </w:p>
    <w:p w14:paraId="4F0C3714" w14:textId="77777777" w:rsidR="00F14E64" w:rsidRPr="00F14E64" w:rsidRDefault="00F14E64" w:rsidP="00F14E64">
      <w:pPr>
        <w:shd w:val="clear" w:color="auto" w:fill="FFFFFF"/>
        <w:spacing w:after="150" w:line="240" w:lineRule="auto"/>
        <w:jc w:val="both"/>
        <w:rPr>
          <w:rFonts w:ascii="Helvetica" w:eastAsia="Times New Roman" w:hAnsi="Helvetica" w:cs="Helvetica"/>
          <w:color w:val="555555"/>
          <w:sz w:val="21"/>
          <w:szCs w:val="21"/>
          <w:lang w:eastAsia="es-CO"/>
        </w:rPr>
      </w:pPr>
      <w:r w:rsidRPr="00F14E64">
        <w:rPr>
          <w:rFonts w:ascii="Helvetica" w:eastAsia="Times New Roman" w:hAnsi="Helvetica" w:cs="Helvetica"/>
          <w:color w:val="555555"/>
          <w:sz w:val="21"/>
          <w:szCs w:val="21"/>
          <w:lang w:eastAsia="es-CO"/>
        </w:rPr>
        <w:t> </w:t>
      </w:r>
    </w:p>
    <w:p w14:paraId="22A9D06F" w14:textId="77777777" w:rsidR="00F14E64" w:rsidRPr="00F14E64" w:rsidRDefault="00F14E64" w:rsidP="00F14E64">
      <w:pPr>
        <w:shd w:val="clear" w:color="auto" w:fill="FFFFFF"/>
        <w:spacing w:after="150" w:line="240" w:lineRule="auto"/>
        <w:jc w:val="both"/>
        <w:rPr>
          <w:rFonts w:ascii="Helvetica" w:eastAsia="Times New Roman" w:hAnsi="Helvetica" w:cs="Helvetica"/>
          <w:color w:val="555555"/>
          <w:sz w:val="21"/>
          <w:szCs w:val="21"/>
          <w:lang w:eastAsia="es-CO"/>
        </w:rPr>
      </w:pPr>
      <w:r w:rsidRPr="00F14E64">
        <w:rPr>
          <w:rFonts w:ascii="Helvetica" w:eastAsia="Times New Roman" w:hAnsi="Helvetica" w:cs="Helvetica"/>
          <w:color w:val="555555"/>
          <w:sz w:val="21"/>
          <w:szCs w:val="21"/>
          <w:lang w:eastAsia="es-CO"/>
        </w:rPr>
        <w:t> </w:t>
      </w:r>
    </w:p>
    <w:p w14:paraId="67AE07D1" w14:textId="77777777" w:rsidR="00F14E64" w:rsidRPr="00F14E64" w:rsidRDefault="00F14E64" w:rsidP="00F14E64">
      <w:pPr>
        <w:shd w:val="clear" w:color="auto" w:fill="FFFFFF"/>
        <w:spacing w:after="150" w:line="240" w:lineRule="auto"/>
        <w:jc w:val="both"/>
        <w:rPr>
          <w:rFonts w:ascii="Helvetica" w:eastAsia="Times New Roman" w:hAnsi="Helvetica" w:cs="Helvetica"/>
          <w:color w:val="555555"/>
          <w:sz w:val="21"/>
          <w:szCs w:val="21"/>
          <w:lang w:eastAsia="es-CO"/>
        </w:rPr>
      </w:pPr>
      <w:r w:rsidRPr="00F14E64">
        <w:rPr>
          <w:rFonts w:ascii="Segoe UI" w:eastAsia="Times New Roman" w:hAnsi="Segoe UI" w:cs="Segoe UI"/>
          <w:b/>
          <w:bCs/>
          <w:color w:val="000000"/>
          <w:sz w:val="18"/>
          <w:szCs w:val="18"/>
          <w:lang w:eastAsia="es-CO"/>
        </w:rPr>
        <w:t>NICOLÁS BERNAL ABELLA</w:t>
      </w:r>
    </w:p>
    <w:p w14:paraId="1A6EC06F" w14:textId="77777777" w:rsidR="00F14E64" w:rsidRPr="00F14E64" w:rsidRDefault="00F14E64" w:rsidP="00F14E64">
      <w:pPr>
        <w:shd w:val="clear" w:color="auto" w:fill="FFFFFF"/>
        <w:spacing w:after="150" w:line="240" w:lineRule="auto"/>
        <w:jc w:val="both"/>
        <w:rPr>
          <w:rFonts w:ascii="Helvetica" w:eastAsia="Times New Roman" w:hAnsi="Helvetica" w:cs="Helvetica"/>
          <w:color w:val="555555"/>
          <w:sz w:val="21"/>
          <w:szCs w:val="21"/>
          <w:lang w:eastAsia="es-CO"/>
        </w:rPr>
      </w:pPr>
      <w:r w:rsidRPr="00F14E64">
        <w:rPr>
          <w:rFonts w:ascii="Segoe UI" w:eastAsia="Times New Roman" w:hAnsi="Segoe UI" w:cs="Segoe UI"/>
          <w:color w:val="000000"/>
          <w:sz w:val="18"/>
          <w:szCs w:val="18"/>
          <w:lang w:eastAsia="es-CO"/>
        </w:rPr>
        <w:t>Subdirector de Gestión de Normativa y Doctrina (E)</w:t>
      </w:r>
    </w:p>
    <w:p w14:paraId="25D91E32" w14:textId="77777777" w:rsidR="00F14E64" w:rsidRPr="00F14E64" w:rsidRDefault="00F14E64" w:rsidP="00F14E64">
      <w:pPr>
        <w:shd w:val="clear" w:color="auto" w:fill="FFFFFF"/>
        <w:spacing w:after="150" w:line="240" w:lineRule="auto"/>
        <w:jc w:val="both"/>
        <w:rPr>
          <w:rFonts w:ascii="Helvetica" w:eastAsia="Times New Roman" w:hAnsi="Helvetica" w:cs="Helvetica"/>
          <w:color w:val="555555"/>
          <w:sz w:val="21"/>
          <w:szCs w:val="21"/>
          <w:lang w:eastAsia="es-CO"/>
        </w:rPr>
      </w:pPr>
      <w:r w:rsidRPr="00F14E64">
        <w:rPr>
          <w:rFonts w:ascii="Segoe UI" w:eastAsia="Times New Roman" w:hAnsi="Segoe UI" w:cs="Segoe UI"/>
          <w:color w:val="000000"/>
          <w:sz w:val="18"/>
          <w:szCs w:val="18"/>
          <w:lang w:eastAsia="es-CO"/>
        </w:rPr>
        <w:t>Dirección de Gestión Jurídica</w:t>
      </w:r>
    </w:p>
    <w:p w14:paraId="15681CAA" w14:textId="77777777" w:rsidR="00F14E64" w:rsidRPr="00F14E64" w:rsidRDefault="00F14E64" w:rsidP="00F14E64">
      <w:pPr>
        <w:shd w:val="clear" w:color="auto" w:fill="FFFFFF"/>
        <w:spacing w:after="0" w:line="240" w:lineRule="auto"/>
        <w:jc w:val="both"/>
        <w:rPr>
          <w:rFonts w:ascii="Helvetica" w:eastAsia="Times New Roman" w:hAnsi="Helvetica" w:cs="Helvetica"/>
          <w:color w:val="555555"/>
          <w:sz w:val="21"/>
          <w:szCs w:val="21"/>
          <w:lang w:eastAsia="es-CO"/>
        </w:rPr>
      </w:pPr>
      <w:r w:rsidRPr="00F14E64">
        <w:rPr>
          <w:rFonts w:ascii="Segoe UI" w:eastAsia="Times New Roman" w:hAnsi="Segoe UI" w:cs="Segoe UI"/>
          <w:color w:val="000000"/>
          <w:sz w:val="18"/>
          <w:szCs w:val="18"/>
          <w:lang w:eastAsia="es-CO"/>
        </w:rPr>
        <w:t>UAE-Dirección de Impuestos y Aduanas Nacionales</w:t>
      </w:r>
    </w:p>
    <w:p w14:paraId="4D046ABC" w14:textId="77777777" w:rsidR="007F5CC8" w:rsidRDefault="007F5CC8"/>
    <w:sectPr w:rsidR="007F5CC8" w:rsidSect="00EB5ADB">
      <w:type w:val="continuous"/>
      <w:pgSz w:w="12191" w:h="18711"/>
      <w:pgMar w:top="1134" w:right="1134" w:bottom="1134" w:left="1701" w:header="720" w:footer="720"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4E64"/>
    <w:rsid w:val="000F3837"/>
    <w:rsid w:val="001E311E"/>
    <w:rsid w:val="00434AE6"/>
    <w:rsid w:val="007F5CC8"/>
    <w:rsid w:val="008779BE"/>
    <w:rsid w:val="00EB5ADB"/>
    <w:rsid w:val="00F14E64"/>
  </w:rsids>
  <m:mathPr>
    <m:mathFont m:val="Cambria Math"/>
    <m:brkBin m:val="before"/>
    <m:brkBinSub m:val="--"/>
    <m:smallFrac m:val="0"/>
    <m:dispDef/>
    <m:lMargin m:val="0"/>
    <m:rMargin m:val="0"/>
    <m:defJc m:val="centerGroup"/>
    <m:wrapIndent m:val="1440"/>
    <m:intLim m:val="subSup"/>
    <m:naryLim m:val="undOvr"/>
  </m:mathPr>
  <w:themeFontLang w:val="es-C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968CF"/>
  <w15:chartTrackingRefBased/>
  <w15:docId w15:val="{8AB6543D-2C0A-472E-BBF9-7D4B4FABD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5030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1566</Words>
  <Characters>8617</Characters>
  <Application>Microsoft Office Word</Application>
  <DocSecurity>0</DocSecurity>
  <Lines>71</Lines>
  <Paragraphs>20</Paragraphs>
  <ScaleCrop>false</ScaleCrop>
  <Company/>
  <LinksUpToDate>false</LinksUpToDate>
  <CharactersWithSpaces>10163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Guillermo Alzate Duque</dc:creator>
  <cp:keywords/>
  <dc:description/>
  <cp:lastModifiedBy>Guillermo Alzate Duque</cp:lastModifiedBy>
  <cp:revision>1</cp:revision>
  <dcterms:created xsi:type="dcterms:W3CDTF">2021-07-17T01:13:00Z</dcterms:created>
  <dcterms:modified xsi:type="dcterms:W3CDTF">2021-07-17T01:14:00Z</dcterms:modified>
</cp:coreProperties>
</file>